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CAB86" w14:textId="77777777" w:rsidR="003375C7" w:rsidRDefault="003375C7" w:rsidP="009B369E">
      <w:pPr>
        <w:jc w:val="center"/>
        <w:rPr>
          <w:rFonts w:cs="Arial"/>
          <w:b/>
          <w:sz w:val="28"/>
          <w:szCs w:val="28"/>
        </w:rPr>
      </w:pPr>
      <w:r>
        <w:rPr>
          <w:rFonts w:cs="Arial"/>
          <w:b/>
          <w:sz w:val="28"/>
          <w:szCs w:val="28"/>
        </w:rPr>
        <w:t>Appendix A</w:t>
      </w:r>
    </w:p>
    <w:p w14:paraId="64ACAB87" w14:textId="77777777" w:rsidR="009B369E" w:rsidRPr="001A07C2" w:rsidRDefault="009B369E" w:rsidP="003375C7">
      <w:pPr>
        <w:rPr>
          <w:rFonts w:cs="Arial"/>
          <w:b/>
          <w:sz w:val="28"/>
          <w:szCs w:val="28"/>
        </w:rPr>
      </w:pPr>
      <w:r w:rsidRPr="007B328E">
        <w:rPr>
          <w:rFonts w:cs="Arial"/>
          <w:b/>
          <w:sz w:val="28"/>
          <w:szCs w:val="28"/>
        </w:rPr>
        <w:t>Scheme of delegation for the L</w:t>
      </w:r>
      <w:r>
        <w:rPr>
          <w:rFonts w:cs="Arial"/>
          <w:b/>
          <w:sz w:val="28"/>
          <w:szCs w:val="28"/>
        </w:rPr>
        <w:t>GA an</w:t>
      </w:r>
      <w:r w:rsidR="003375C7">
        <w:rPr>
          <w:rFonts w:cs="Arial"/>
          <w:b/>
          <w:sz w:val="28"/>
          <w:szCs w:val="28"/>
        </w:rPr>
        <w:t>d its associated companies</w:t>
      </w:r>
      <w:r w:rsidRPr="00A938B3">
        <w:t xml:space="preserve"> </w:t>
      </w:r>
      <w:r w:rsidRPr="00A938B3">
        <w:rPr>
          <w:rFonts w:cs="Arial"/>
          <w:b/>
          <w:sz w:val="28"/>
          <w:szCs w:val="28"/>
        </w:rPr>
        <w:t>IDeA</w:t>
      </w:r>
      <w:r w:rsidR="003375C7">
        <w:rPr>
          <w:rFonts w:cs="Arial"/>
          <w:b/>
          <w:sz w:val="28"/>
          <w:szCs w:val="28"/>
        </w:rPr>
        <w:t>, LGA Properties and LGMB</w:t>
      </w:r>
      <w:r>
        <w:rPr>
          <w:rFonts w:cs="Arial"/>
          <w:b/>
          <w:sz w:val="28"/>
          <w:szCs w:val="28"/>
        </w:rPr>
        <w:t>.</w:t>
      </w:r>
    </w:p>
    <w:p w14:paraId="64ACAB88" w14:textId="77777777" w:rsidR="009B369E" w:rsidRPr="001A07C2" w:rsidRDefault="009B369E" w:rsidP="009B369E">
      <w:pPr>
        <w:rPr>
          <w:rFonts w:cs="Arial"/>
          <w:szCs w:val="22"/>
        </w:rPr>
      </w:pPr>
    </w:p>
    <w:p w14:paraId="64ACAB89" w14:textId="77777777" w:rsidR="009B369E" w:rsidRPr="001A07C2" w:rsidRDefault="009B369E" w:rsidP="009B369E">
      <w:pPr>
        <w:rPr>
          <w:rFonts w:cs="Arial"/>
          <w:szCs w:val="22"/>
        </w:rPr>
      </w:pPr>
    </w:p>
    <w:p w14:paraId="64ACAB8A" w14:textId="77777777" w:rsidR="009B369E" w:rsidRPr="001A07C2" w:rsidRDefault="009B369E" w:rsidP="009B369E">
      <w:pPr>
        <w:rPr>
          <w:rFonts w:cs="Arial"/>
          <w:szCs w:val="22"/>
        </w:rPr>
      </w:pPr>
    </w:p>
    <w:p w14:paraId="64ACAB8B" w14:textId="77777777" w:rsidR="009B369E" w:rsidRPr="001A07C2" w:rsidRDefault="009B369E" w:rsidP="009B369E">
      <w:pPr>
        <w:rPr>
          <w:rFonts w:cs="Arial"/>
          <w:szCs w:val="22"/>
        </w:rPr>
      </w:pPr>
    </w:p>
    <w:p w14:paraId="64ACAB8C" w14:textId="77777777" w:rsidR="009B369E" w:rsidRPr="001A07C2" w:rsidRDefault="009B369E" w:rsidP="009B369E">
      <w:pPr>
        <w:rPr>
          <w:rFonts w:cs="Arial"/>
          <w:szCs w:val="22"/>
        </w:rPr>
      </w:pPr>
    </w:p>
    <w:p w14:paraId="64ACAB8D" w14:textId="77777777" w:rsidR="009B369E" w:rsidRPr="001A07C2" w:rsidRDefault="009B369E" w:rsidP="009B369E">
      <w:pPr>
        <w:rPr>
          <w:rFonts w:cs="Arial"/>
          <w:szCs w:val="22"/>
        </w:rPr>
      </w:pPr>
    </w:p>
    <w:p w14:paraId="64ACAB8E" w14:textId="77777777" w:rsidR="009B369E" w:rsidRPr="001A07C2" w:rsidRDefault="009B369E" w:rsidP="009B369E">
      <w:pPr>
        <w:rPr>
          <w:rFonts w:cs="Arial"/>
          <w:szCs w:val="22"/>
        </w:rPr>
      </w:pPr>
    </w:p>
    <w:p w14:paraId="64ACAB8F" w14:textId="77777777" w:rsidR="009B369E" w:rsidRPr="001A07C2" w:rsidRDefault="009B369E" w:rsidP="009B369E">
      <w:pPr>
        <w:rPr>
          <w:rFonts w:cs="Arial"/>
          <w:szCs w:val="22"/>
        </w:rPr>
      </w:pPr>
    </w:p>
    <w:p w14:paraId="64ACAB90" w14:textId="77777777" w:rsidR="009B369E" w:rsidRPr="001A07C2" w:rsidRDefault="009B369E" w:rsidP="009B369E">
      <w:pPr>
        <w:rPr>
          <w:rFonts w:cs="Arial"/>
          <w:szCs w:val="22"/>
        </w:rPr>
      </w:pPr>
    </w:p>
    <w:p w14:paraId="64ACAB91" w14:textId="77777777" w:rsidR="009B369E" w:rsidRPr="001A07C2" w:rsidRDefault="009B369E" w:rsidP="009B369E">
      <w:pPr>
        <w:rPr>
          <w:rFonts w:cs="Arial"/>
          <w:szCs w:val="22"/>
        </w:rPr>
      </w:pPr>
    </w:p>
    <w:p w14:paraId="64ACAB92" w14:textId="77777777" w:rsidR="009B369E" w:rsidRPr="001A07C2" w:rsidRDefault="009B369E" w:rsidP="009B369E">
      <w:pPr>
        <w:rPr>
          <w:rFonts w:cs="Arial"/>
          <w:szCs w:val="22"/>
        </w:rPr>
      </w:pPr>
    </w:p>
    <w:p w14:paraId="64ACAB93" w14:textId="77777777" w:rsidR="009B369E" w:rsidRPr="001A07C2" w:rsidRDefault="009B369E" w:rsidP="009B369E">
      <w:pPr>
        <w:rPr>
          <w:rFonts w:cs="Arial"/>
          <w:szCs w:val="22"/>
        </w:rPr>
      </w:pPr>
    </w:p>
    <w:p w14:paraId="64ACAB94" w14:textId="77777777" w:rsidR="009B369E" w:rsidRPr="001A07C2" w:rsidRDefault="009B369E" w:rsidP="009B369E">
      <w:pPr>
        <w:rPr>
          <w:rFonts w:cs="Arial"/>
          <w:szCs w:val="22"/>
        </w:rPr>
      </w:pPr>
    </w:p>
    <w:p w14:paraId="64ACAB95" w14:textId="77777777" w:rsidR="009B369E" w:rsidRPr="001A07C2" w:rsidRDefault="009B369E" w:rsidP="009B369E">
      <w:pPr>
        <w:rPr>
          <w:rFonts w:cs="Arial"/>
          <w:szCs w:val="22"/>
        </w:rPr>
      </w:pPr>
    </w:p>
    <w:p w14:paraId="64ACAB96" w14:textId="77777777" w:rsidR="009B369E" w:rsidRDefault="009B369E" w:rsidP="009B369E">
      <w:pPr>
        <w:rPr>
          <w:rFonts w:cs="Arial"/>
          <w:szCs w:val="22"/>
        </w:rPr>
      </w:pPr>
    </w:p>
    <w:p w14:paraId="64ACAB97" w14:textId="77777777" w:rsidR="009B369E" w:rsidRDefault="009B369E" w:rsidP="009B369E">
      <w:pPr>
        <w:rPr>
          <w:rFonts w:cs="Arial"/>
          <w:szCs w:val="22"/>
        </w:rPr>
      </w:pPr>
    </w:p>
    <w:p w14:paraId="64ACAB98" w14:textId="77777777" w:rsidR="009B369E" w:rsidRPr="001A07C2" w:rsidRDefault="009B369E" w:rsidP="009B369E">
      <w:pPr>
        <w:rPr>
          <w:rFonts w:cs="Arial"/>
          <w:szCs w:val="22"/>
        </w:rPr>
      </w:pPr>
      <w:r w:rsidRPr="001A07C2">
        <w:rPr>
          <w:rFonts w:cs="Arial"/>
          <w:szCs w:val="22"/>
        </w:rPr>
        <w:t>Date created:</w:t>
      </w:r>
      <w:r w:rsidRPr="001A07C2">
        <w:rPr>
          <w:rFonts w:cs="Arial"/>
          <w:szCs w:val="22"/>
        </w:rPr>
        <w:tab/>
      </w:r>
      <w:r w:rsidRPr="001A07C2">
        <w:rPr>
          <w:rFonts w:cs="Arial"/>
          <w:szCs w:val="22"/>
        </w:rPr>
        <w:tab/>
      </w:r>
      <w:r w:rsidRPr="001A07C2">
        <w:rPr>
          <w:rFonts w:cs="Arial"/>
          <w:szCs w:val="22"/>
        </w:rPr>
        <w:tab/>
        <w:t>January 201</w:t>
      </w:r>
      <w:r>
        <w:rPr>
          <w:rFonts w:cs="Arial"/>
          <w:szCs w:val="22"/>
        </w:rPr>
        <w:t>5</w:t>
      </w:r>
    </w:p>
    <w:p w14:paraId="64ACAB99" w14:textId="77777777" w:rsidR="009B369E" w:rsidRPr="001A07C2" w:rsidRDefault="009B369E" w:rsidP="009B369E">
      <w:pPr>
        <w:rPr>
          <w:rFonts w:cs="Arial"/>
          <w:szCs w:val="22"/>
        </w:rPr>
      </w:pPr>
      <w:r w:rsidRPr="001A07C2">
        <w:rPr>
          <w:rFonts w:cs="Arial"/>
          <w:szCs w:val="22"/>
        </w:rPr>
        <w:t>Responsible Officer:</w:t>
      </w:r>
      <w:r w:rsidRPr="001A07C2">
        <w:rPr>
          <w:rFonts w:cs="Arial"/>
          <w:szCs w:val="22"/>
        </w:rPr>
        <w:tab/>
        <w:t xml:space="preserve"> </w:t>
      </w:r>
      <w:r w:rsidRPr="001A07C2">
        <w:rPr>
          <w:rFonts w:cs="Arial"/>
          <w:szCs w:val="22"/>
        </w:rPr>
        <w:tab/>
      </w:r>
      <w:r>
        <w:rPr>
          <w:rFonts w:cs="Arial"/>
          <w:szCs w:val="22"/>
        </w:rPr>
        <w:t>Strategic Finance Manager</w:t>
      </w:r>
    </w:p>
    <w:p w14:paraId="64ACAB9A" w14:textId="77777777" w:rsidR="009B369E" w:rsidRPr="001A07C2" w:rsidRDefault="009B369E" w:rsidP="009B369E">
      <w:pPr>
        <w:rPr>
          <w:rFonts w:cs="Arial"/>
          <w:szCs w:val="22"/>
        </w:rPr>
      </w:pPr>
    </w:p>
    <w:p w14:paraId="64ACAB9B" w14:textId="77777777" w:rsidR="009B369E" w:rsidRPr="001A07C2" w:rsidRDefault="009B369E" w:rsidP="009B369E">
      <w:pPr>
        <w:rPr>
          <w:rFonts w:cs="Arial"/>
          <w:szCs w:val="22"/>
        </w:rPr>
      </w:pPr>
      <w:r w:rsidRPr="001A07C2">
        <w:rPr>
          <w:rFonts w:cs="Arial"/>
          <w:szCs w:val="22"/>
        </w:rPr>
        <w:t>Date for next review:</w:t>
      </w:r>
      <w:r w:rsidRPr="001A07C2">
        <w:rPr>
          <w:rFonts w:cs="Arial"/>
          <w:szCs w:val="22"/>
        </w:rPr>
        <w:tab/>
      </w:r>
      <w:r>
        <w:rPr>
          <w:rFonts w:cs="Arial"/>
          <w:szCs w:val="22"/>
        </w:rPr>
        <w:tab/>
      </w:r>
      <w:r w:rsidR="003375C7">
        <w:rPr>
          <w:rFonts w:cs="Arial"/>
          <w:szCs w:val="22"/>
        </w:rPr>
        <w:tab/>
      </w:r>
      <w:r>
        <w:rPr>
          <w:rFonts w:cs="Arial"/>
          <w:szCs w:val="22"/>
        </w:rPr>
        <w:t>March 2018</w:t>
      </w:r>
    </w:p>
    <w:p w14:paraId="64ACAB9C" w14:textId="77777777" w:rsidR="009B369E" w:rsidRPr="001A07C2" w:rsidRDefault="009B369E" w:rsidP="009B369E">
      <w:pPr>
        <w:rPr>
          <w:rFonts w:cs="Arial"/>
          <w:szCs w:val="22"/>
        </w:rPr>
      </w:pPr>
      <w:r w:rsidRPr="001A07C2">
        <w:rPr>
          <w:rFonts w:cs="Arial"/>
          <w:szCs w:val="22"/>
        </w:rPr>
        <w:t xml:space="preserve">Date of </w:t>
      </w:r>
      <w:r w:rsidR="003375C7">
        <w:rPr>
          <w:rFonts w:cs="Arial"/>
          <w:szCs w:val="22"/>
        </w:rPr>
        <w:t>current</w:t>
      </w:r>
      <w:r w:rsidRPr="001A07C2">
        <w:rPr>
          <w:rFonts w:cs="Arial"/>
          <w:szCs w:val="22"/>
        </w:rPr>
        <w:t xml:space="preserve"> revision:</w:t>
      </w:r>
      <w:r w:rsidRPr="001A07C2">
        <w:rPr>
          <w:rFonts w:cs="Arial"/>
          <w:szCs w:val="22"/>
        </w:rPr>
        <w:tab/>
      </w:r>
      <w:r>
        <w:rPr>
          <w:rFonts w:cs="Arial"/>
          <w:szCs w:val="22"/>
        </w:rPr>
        <w:tab/>
      </w:r>
      <w:r w:rsidR="003375C7">
        <w:rPr>
          <w:rFonts w:cs="Arial"/>
          <w:szCs w:val="22"/>
        </w:rPr>
        <w:t>January 2017</w:t>
      </w:r>
    </w:p>
    <w:p w14:paraId="64ACAB9D" w14:textId="77777777" w:rsidR="009B369E" w:rsidRPr="001A07C2" w:rsidRDefault="009B369E" w:rsidP="009B369E">
      <w:pPr>
        <w:rPr>
          <w:rFonts w:cs="Arial"/>
          <w:szCs w:val="22"/>
        </w:rPr>
      </w:pPr>
    </w:p>
    <w:p w14:paraId="64ACAB9E" w14:textId="77777777" w:rsidR="009B369E" w:rsidRPr="001A07C2" w:rsidRDefault="009B369E" w:rsidP="009B369E">
      <w:pPr>
        <w:rPr>
          <w:rFonts w:cs="Arial"/>
          <w:szCs w:val="22"/>
        </w:rPr>
      </w:pPr>
    </w:p>
    <w:p w14:paraId="64ACAB9F" w14:textId="77777777" w:rsidR="009B369E" w:rsidRPr="001A07C2" w:rsidRDefault="009B369E" w:rsidP="009B369E">
      <w:pPr>
        <w:rPr>
          <w:rFonts w:cs="Arial"/>
          <w:szCs w:val="22"/>
        </w:rPr>
      </w:pPr>
    </w:p>
    <w:p w14:paraId="64ACABA0" w14:textId="77777777" w:rsidR="009B369E" w:rsidRPr="007B328E" w:rsidRDefault="009B369E" w:rsidP="009B369E">
      <w:pPr>
        <w:rPr>
          <w:rFonts w:cs="Arial"/>
          <w:szCs w:val="22"/>
        </w:rPr>
      </w:pPr>
      <w:r w:rsidRPr="001A07C2">
        <w:rPr>
          <w:rFonts w:cs="Arial"/>
          <w:szCs w:val="22"/>
        </w:rPr>
        <w:t>This policy applies to all employees of the Local Government Association and Improvement &amp; Development Agency.</w:t>
      </w:r>
    </w:p>
    <w:p w14:paraId="64ACABA1" w14:textId="77777777" w:rsidR="009B369E" w:rsidRDefault="009B369E" w:rsidP="009B369E">
      <w:pPr>
        <w:rPr>
          <w:rFonts w:cs="Arial"/>
          <w:szCs w:val="22"/>
        </w:rPr>
      </w:pPr>
    </w:p>
    <w:p w14:paraId="64ACABA2" w14:textId="77777777" w:rsidR="009B369E" w:rsidRDefault="009B369E" w:rsidP="009B369E">
      <w:pPr>
        <w:rPr>
          <w:rFonts w:cs="Arial"/>
          <w:szCs w:val="22"/>
        </w:rPr>
      </w:pPr>
    </w:p>
    <w:p w14:paraId="64ACABA3" w14:textId="77777777" w:rsidR="009B369E" w:rsidRDefault="009B369E" w:rsidP="009B369E">
      <w:pPr>
        <w:rPr>
          <w:rFonts w:cs="Arial"/>
          <w:szCs w:val="22"/>
        </w:rPr>
      </w:pPr>
    </w:p>
    <w:p w14:paraId="64ACABA4" w14:textId="77777777" w:rsidR="003375C7" w:rsidRDefault="003375C7" w:rsidP="009B369E">
      <w:pPr>
        <w:rPr>
          <w:rFonts w:cs="Arial"/>
          <w:szCs w:val="22"/>
        </w:rPr>
      </w:pPr>
    </w:p>
    <w:p w14:paraId="64ACABA5" w14:textId="77777777" w:rsidR="003375C7" w:rsidRDefault="003375C7" w:rsidP="009B369E">
      <w:pPr>
        <w:rPr>
          <w:rFonts w:cs="Arial"/>
          <w:szCs w:val="22"/>
        </w:rPr>
      </w:pPr>
    </w:p>
    <w:p w14:paraId="64ACABA6" w14:textId="77777777" w:rsidR="003375C7" w:rsidRDefault="003375C7" w:rsidP="009B369E">
      <w:pPr>
        <w:rPr>
          <w:rFonts w:cs="Arial"/>
          <w:szCs w:val="22"/>
        </w:rPr>
      </w:pPr>
    </w:p>
    <w:p w14:paraId="64ACABA7" w14:textId="77777777" w:rsidR="009B369E" w:rsidRPr="001A07C2" w:rsidRDefault="003375C7" w:rsidP="003375C7">
      <w:pPr>
        <w:rPr>
          <w:rFonts w:cs="Arial"/>
          <w:b/>
          <w:sz w:val="24"/>
          <w:szCs w:val="24"/>
        </w:rPr>
      </w:pPr>
      <w:r w:rsidRPr="003375C7">
        <w:rPr>
          <w:rFonts w:cs="Arial"/>
          <w:b/>
          <w:sz w:val="24"/>
          <w:szCs w:val="24"/>
        </w:rPr>
        <w:lastRenderedPageBreak/>
        <w:t>Scheme of delegation for the LGA and its associated companies IDeA, LGA Properties and LGMB.</w:t>
      </w:r>
      <w:r w:rsidR="009B369E" w:rsidRPr="001A07C2">
        <w:rPr>
          <w:rFonts w:cs="Arial"/>
          <w:b/>
          <w:sz w:val="24"/>
          <w:szCs w:val="24"/>
        </w:rPr>
        <w:t xml:space="preserve"> </w:t>
      </w:r>
    </w:p>
    <w:p w14:paraId="64ACABA8" w14:textId="77777777" w:rsidR="009B369E" w:rsidRPr="00DB4D2A" w:rsidRDefault="009B369E" w:rsidP="009B369E">
      <w:pPr>
        <w:pStyle w:val="ListParagraph"/>
        <w:numPr>
          <w:ilvl w:val="0"/>
          <w:numId w:val="3"/>
        </w:numPr>
        <w:spacing w:after="0"/>
        <w:contextualSpacing/>
        <w:outlineLvl w:val="0"/>
        <w:rPr>
          <w:rFonts w:cs="Arial"/>
          <w:b/>
          <w:szCs w:val="22"/>
        </w:rPr>
      </w:pPr>
      <w:r w:rsidRPr="00DB4D2A">
        <w:rPr>
          <w:rFonts w:cs="Arial"/>
          <w:b/>
          <w:szCs w:val="22"/>
        </w:rPr>
        <w:t>Authorisation levels</w:t>
      </w:r>
      <w:r w:rsidRPr="00DB4D2A">
        <w:rPr>
          <w:rFonts w:cs="Arial"/>
          <w:b/>
          <w:szCs w:val="22"/>
        </w:rPr>
        <w:br/>
      </w:r>
    </w:p>
    <w:p w14:paraId="64ACABA9" w14:textId="77777777" w:rsidR="009B369E" w:rsidRPr="00DB4D2A" w:rsidRDefault="009B369E" w:rsidP="009B369E">
      <w:pPr>
        <w:pStyle w:val="ListParagraph"/>
        <w:numPr>
          <w:ilvl w:val="1"/>
          <w:numId w:val="3"/>
        </w:numPr>
        <w:spacing w:after="0"/>
        <w:contextualSpacing/>
        <w:outlineLvl w:val="0"/>
        <w:rPr>
          <w:rFonts w:cs="Arial"/>
          <w:szCs w:val="22"/>
        </w:rPr>
      </w:pPr>
      <w:r w:rsidRPr="00DB4D2A">
        <w:rPr>
          <w:rFonts w:cs="Arial"/>
          <w:szCs w:val="22"/>
        </w:rPr>
        <w:t>The LGA’s officers are authorised to commit expenditure and enter into contracts for goods or services, where the officer has designated responsibility for delivering the work as set out in their job description and as reflected in the LGA’s cost centre structure. The following criteria must apply:</w:t>
      </w:r>
    </w:p>
    <w:p w14:paraId="64ACABAA" w14:textId="77777777" w:rsidR="009B369E" w:rsidRPr="008A7E6F" w:rsidRDefault="009B369E" w:rsidP="009B369E">
      <w:pPr>
        <w:numPr>
          <w:ilvl w:val="0"/>
          <w:numId w:val="2"/>
        </w:numPr>
        <w:spacing w:before="120" w:after="0"/>
        <w:rPr>
          <w:rFonts w:cs="Arial"/>
          <w:szCs w:val="22"/>
        </w:rPr>
      </w:pPr>
      <w:r w:rsidRPr="008A7E6F">
        <w:rPr>
          <w:rFonts w:cs="Arial"/>
          <w:szCs w:val="22"/>
        </w:rPr>
        <w:t>The work is consistent with the LGA’s priorities and will deliver the objectives set out in the LGA’s annual business plan:</w:t>
      </w:r>
    </w:p>
    <w:p w14:paraId="64ACABAB" w14:textId="77777777" w:rsidR="009B369E" w:rsidRPr="00A947DA" w:rsidRDefault="009B369E" w:rsidP="009B369E">
      <w:pPr>
        <w:numPr>
          <w:ilvl w:val="0"/>
          <w:numId w:val="2"/>
        </w:numPr>
        <w:spacing w:before="120" w:after="0"/>
        <w:rPr>
          <w:rFonts w:cs="Arial"/>
          <w:szCs w:val="22"/>
        </w:rPr>
      </w:pPr>
      <w:r w:rsidRPr="00A947DA">
        <w:rPr>
          <w:rFonts w:cs="Arial"/>
          <w:szCs w:val="22"/>
        </w:rPr>
        <w:t>There is sufficient budget available to meet the cost of the commitment</w:t>
      </w:r>
    </w:p>
    <w:p w14:paraId="64ACABAC" w14:textId="77777777" w:rsidR="009B369E" w:rsidRDefault="009B369E" w:rsidP="009B369E">
      <w:pPr>
        <w:numPr>
          <w:ilvl w:val="0"/>
          <w:numId w:val="2"/>
        </w:numPr>
        <w:spacing w:before="120" w:after="0"/>
        <w:rPr>
          <w:rFonts w:cs="Arial"/>
          <w:szCs w:val="22"/>
        </w:rPr>
      </w:pPr>
      <w:r w:rsidRPr="00A947DA">
        <w:rPr>
          <w:rFonts w:cs="Arial"/>
          <w:szCs w:val="22"/>
        </w:rPr>
        <w:t>The total value of the expenditure does not exceed the officer’s authorisation level</w:t>
      </w:r>
      <w:r>
        <w:rPr>
          <w:rFonts w:cs="Arial"/>
          <w:szCs w:val="22"/>
        </w:rPr>
        <w:t>.</w:t>
      </w:r>
    </w:p>
    <w:p w14:paraId="64ACABAD" w14:textId="77777777" w:rsidR="009B369E" w:rsidRDefault="009B369E" w:rsidP="009B369E">
      <w:pPr>
        <w:pStyle w:val="ListParagraph"/>
        <w:numPr>
          <w:ilvl w:val="1"/>
          <w:numId w:val="3"/>
        </w:numPr>
        <w:spacing w:before="120" w:after="0"/>
        <w:contextualSpacing/>
        <w:outlineLvl w:val="0"/>
        <w:rPr>
          <w:rFonts w:cs="Arial"/>
          <w:szCs w:val="22"/>
        </w:rPr>
      </w:pPr>
      <w:r w:rsidRPr="00DB4D2A">
        <w:rPr>
          <w:rFonts w:cs="Arial"/>
          <w:szCs w:val="22"/>
        </w:rPr>
        <w:t>This is subject to the LGA’s agreed procurement policy and any legislative requirements.</w:t>
      </w:r>
      <w:r>
        <w:rPr>
          <w:rFonts w:cs="Arial"/>
          <w:szCs w:val="22"/>
        </w:rPr>
        <w:br/>
      </w:r>
    </w:p>
    <w:p w14:paraId="64ACABAE" w14:textId="77777777" w:rsidR="009B369E" w:rsidRDefault="009B369E" w:rsidP="009B369E">
      <w:pPr>
        <w:pStyle w:val="ListParagraph"/>
        <w:numPr>
          <w:ilvl w:val="1"/>
          <w:numId w:val="3"/>
        </w:numPr>
        <w:spacing w:before="120" w:after="0"/>
        <w:contextualSpacing/>
        <w:outlineLvl w:val="0"/>
        <w:rPr>
          <w:rFonts w:cs="Arial"/>
          <w:szCs w:val="22"/>
        </w:rPr>
      </w:pPr>
      <w:r w:rsidRPr="00DB4D2A">
        <w:rPr>
          <w:rFonts w:cs="Arial"/>
          <w:szCs w:val="22"/>
        </w:rPr>
        <w:t xml:space="preserve">These principles also apply to decisions to enter into partnership agreements, contracts for the delivery of services and agreements with government to undertake grant-funded programmes. </w:t>
      </w:r>
      <w:r>
        <w:rPr>
          <w:rFonts w:cs="Arial"/>
          <w:szCs w:val="22"/>
        </w:rPr>
        <w:br/>
      </w:r>
    </w:p>
    <w:p w14:paraId="64ACABAF" w14:textId="77777777" w:rsidR="009B369E" w:rsidRPr="00DB4D2A" w:rsidRDefault="009B369E" w:rsidP="009B369E">
      <w:pPr>
        <w:pStyle w:val="ListParagraph"/>
        <w:numPr>
          <w:ilvl w:val="1"/>
          <w:numId w:val="3"/>
        </w:numPr>
        <w:spacing w:before="120" w:after="0"/>
        <w:contextualSpacing/>
        <w:outlineLvl w:val="0"/>
        <w:rPr>
          <w:rFonts w:cs="Arial"/>
          <w:szCs w:val="22"/>
        </w:rPr>
      </w:pPr>
      <w:r w:rsidRPr="00DB4D2A">
        <w:rPr>
          <w:rFonts w:cs="Arial"/>
          <w:szCs w:val="22"/>
        </w:rPr>
        <w:t>In addition designated employees within the Finance Team may also authorise expenditure in line with the above criteria in exceptional circumstances and where full background information has been provided.</w:t>
      </w:r>
    </w:p>
    <w:p w14:paraId="64ACABB0" w14:textId="77777777" w:rsidR="009B369E" w:rsidRPr="00A947DA" w:rsidRDefault="009B369E" w:rsidP="009B369E">
      <w:pPr>
        <w:rPr>
          <w:rFonts w:cs="Arial"/>
          <w:szCs w:val="22"/>
        </w:rPr>
      </w:pPr>
    </w:p>
    <w:p w14:paraId="64ACABB1" w14:textId="77777777" w:rsidR="009B369E" w:rsidRPr="00DB4D2A" w:rsidRDefault="009B369E" w:rsidP="009B369E">
      <w:pPr>
        <w:pStyle w:val="ListParagraph"/>
        <w:numPr>
          <w:ilvl w:val="0"/>
          <w:numId w:val="3"/>
        </w:numPr>
        <w:spacing w:after="0"/>
        <w:contextualSpacing/>
        <w:outlineLvl w:val="0"/>
        <w:rPr>
          <w:rFonts w:cs="Arial"/>
          <w:b/>
          <w:szCs w:val="22"/>
        </w:rPr>
      </w:pPr>
      <w:r w:rsidRPr="00DB4D2A">
        <w:rPr>
          <w:rFonts w:cs="Arial"/>
          <w:b/>
          <w:szCs w:val="22"/>
        </w:rPr>
        <w:t>New commitments</w:t>
      </w:r>
      <w:r>
        <w:rPr>
          <w:rFonts w:cs="Arial"/>
          <w:b/>
          <w:szCs w:val="22"/>
        </w:rPr>
        <w:br/>
      </w:r>
    </w:p>
    <w:p w14:paraId="64ACABB2" w14:textId="77777777" w:rsidR="009B369E" w:rsidRDefault="009B369E" w:rsidP="009B369E">
      <w:pPr>
        <w:pStyle w:val="ListParagraph"/>
        <w:numPr>
          <w:ilvl w:val="1"/>
          <w:numId w:val="3"/>
        </w:numPr>
        <w:spacing w:before="120" w:after="0"/>
        <w:contextualSpacing/>
        <w:outlineLvl w:val="0"/>
        <w:rPr>
          <w:rFonts w:cs="Arial"/>
          <w:szCs w:val="22"/>
        </w:rPr>
      </w:pPr>
      <w:r w:rsidRPr="00DB4D2A">
        <w:rPr>
          <w:rFonts w:cs="Arial"/>
          <w:szCs w:val="22"/>
        </w:rPr>
        <w:t>Officers are authorised to commit expenditure on new work not contained within the current business plan as long as the above criteria are met and the work has been agreed by the Strategic Management Team</w:t>
      </w:r>
      <w:r>
        <w:rPr>
          <w:rFonts w:cs="Arial"/>
          <w:szCs w:val="22"/>
        </w:rPr>
        <w:t>.</w:t>
      </w:r>
      <w:r w:rsidRPr="00DB4D2A">
        <w:rPr>
          <w:rFonts w:cs="Arial"/>
          <w:szCs w:val="22"/>
        </w:rPr>
        <w:tab/>
      </w:r>
      <w:r>
        <w:rPr>
          <w:rFonts w:cs="Arial"/>
          <w:szCs w:val="22"/>
        </w:rPr>
        <w:br/>
      </w:r>
    </w:p>
    <w:p w14:paraId="64ACABB3" w14:textId="77777777" w:rsidR="009B369E" w:rsidRPr="00B21060" w:rsidRDefault="009B369E" w:rsidP="009B369E">
      <w:pPr>
        <w:pStyle w:val="ListParagraph"/>
        <w:numPr>
          <w:ilvl w:val="1"/>
          <w:numId w:val="3"/>
        </w:numPr>
        <w:spacing w:before="120" w:after="0"/>
        <w:contextualSpacing/>
        <w:outlineLvl w:val="0"/>
        <w:rPr>
          <w:rFonts w:cs="Arial"/>
          <w:szCs w:val="22"/>
        </w:rPr>
      </w:pPr>
      <w:r w:rsidRPr="00B21060">
        <w:rPr>
          <w:rFonts w:cs="Arial"/>
          <w:szCs w:val="22"/>
        </w:rPr>
        <w:t>Revisions to the business plan, including alterations to the budget</w:t>
      </w:r>
      <w:r w:rsidR="00A731B3">
        <w:rPr>
          <w:rFonts w:cs="Arial"/>
          <w:szCs w:val="22"/>
        </w:rPr>
        <w:t xml:space="preserve"> (virements)</w:t>
      </w:r>
      <w:r w:rsidRPr="00B21060">
        <w:rPr>
          <w:rFonts w:cs="Arial"/>
          <w:szCs w:val="22"/>
        </w:rPr>
        <w:t xml:space="preserve"> of £250,000 or over, are to be approved by the Leadership Board </w:t>
      </w:r>
      <w:r w:rsidR="006732CD">
        <w:rPr>
          <w:rFonts w:cs="Arial"/>
          <w:szCs w:val="22"/>
        </w:rPr>
        <w:t xml:space="preserve">and relevant company board </w:t>
      </w:r>
      <w:r w:rsidRPr="00B21060">
        <w:rPr>
          <w:rFonts w:cs="Arial"/>
          <w:szCs w:val="22"/>
        </w:rPr>
        <w:t>before any commitment is made.</w:t>
      </w:r>
      <w:r w:rsidRPr="00B21060">
        <w:rPr>
          <w:rFonts w:cs="Arial"/>
          <w:szCs w:val="22"/>
        </w:rPr>
        <w:br/>
      </w:r>
    </w:p>
    <w:p w14:paraId="64ACABB4" w14:textId="77777777" w:rsidR="009B369E" w:rsidRPr="00DB4D2A" w:rsidRDefault="009B369E" w:rsidP="009B369E">
      <w:pPr>
        <w:pStyle w:val="ListParagraph"/>
        <w:numPr>
          <w:ilvl w:val="0"/>
          <w:numId w:val="3"/>
        </w:numPr>
        <w:spacing w:after="0"/>
        <w:contextualSpacing/>
        <w:outlineLvl w:val="0"/>
        <w:rPr>
          <w:rFonts w:cs="Arial"/>
          <w:b/>
          <w:szCs w:val="22"/>
        </w:rPr>
      </w:pPr>
      <w:r w:rsidRPr="00DB4D2A">
        <w:rPr>
          <w:rFonts w:cs="Arial"/>
          <w:b/>
          <w:szCs w:val="22"/>
        </w:rPr>
        <w:t>Authorisation levels</w:t>
      </w:r>
      <w:r>
        <w:rPr>
          <w:rFonts w:cs="Arial"/>
          <w:b/>
          <w:szCs w:val="22"/>
        </w:rPr>
        <w:br/>
      </w:r>
    </w:p>
    <w:tbl>
      <w:tblPr>
        <w:tblpPr w:leftFromText="180" w:rightFromText="180" w:vertAnchor="text" w:horzAnchor="margin" w:tblpXSpec="center" w:tblpY="434"/>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gridCol w:w="2414"/>
      </w:tblGrid>
      <w:tr w:rsidR="009B369E" w:rsidRPr="00A947DA" w14:paraId="64ACABB7" w14:textId="77777777" w:rsidTr="009B369E">
        <w:tc>
          <w:tcPr>
            <w:tcW w:w="5524" w:type="dxa"/>
          </w:tcPr>
          <w:p w14:paraId="64ACABB5" w14:textId="77777777" w:rsidR="009B369E" w:rsidRPr="00A947DA" w:rsidRDefault="009B369E" w:rsidP="009B369E">
            <w:pPr>
              <w:rPr>
                <w:rFonts w:cs="Arial"/>
                <w:b/>
                <w:szCs w:val="22"/>
              </w:rPr>
            </w:pPr>
            <w:r w:rsidRPr="00A947DA">
              <w:rPr>
                <w:rFonts w:cs="Arial"/>
                <w:b/>
                <w:szCs w:val="22"/>
              </w:rPr>
              <w:t>Level</w:t>
            </w:r>
          </w:p>
        </w:tc>
        <w:tc>
          <w:tcPr>
            <w:tcW w:w="2414" w:type="dxa"/>
          </w:tcPr>
          <w:p w14:paraId="64ACABB6" w14:textId="77777777" w:rsidR="009B369E" w:rsidRPr="00A947DA" w:rsidRDefault="009B369E" w:rsidP="009B369E">
            <w:pPr>
              <w:rPr>
                <w:rFonts w:cs="Arial"/>
                <w:b/>
                <w:szCs w:val="22"/>
              </w:rPr>
            </w:pPr>
            <w:r w:rsidRPr="00A947DA">
              <w:rPr>
                <w:rFonts w:cs="Arial"/>
                <w:b/>
                <w:szCs w:val="22"/>
              </w:rPr>
              <w:t>Limit</w:t>
            </w:r>
          </w:p>
        </w:tc>
      </w:tr>
      <w:tr w:rsidR="009B369E" w:rsidRPr="00A947DA" w14:paraId="64ACABBA" w14:textId="77777777" w:rsidTr="009B369E">
        <w:tc>
          <w:tcPr>
            <w:tcW w:w="5524" w:type="dxa"/>
          </w:tcPr>
          <w:p w14:paraId="64ACABB8" w14:textId="77777777" w:rsidR="009B369E" w:rsidRPr="00A947DA" w:rsidRDefault="009B369E" w:rsidP="009B369E">
            <w:pPr>
              <w:rPr>
                <w:rFonts w:cs="Arial"/>
                <w:szCs w:val="22"/>
              </w:rPr>
            </w:pPr>
            <w:r w:rsidRPr="00A947DA">
              <w:rPr>
                <w:rFonts w:cs="Arial"/>
                <w:szCs w:val="22"/>
              </w:rPr>
              <w:t>Chief Executive</w:t>
            </w:r>
            <w:r>
              <w:rPr>
                <w:rFonts w:cs="Arial"/>
                <w:szCs w:val="22"/>
              </w:rPr>
              <w:t xml:space="preserve"> and Deputy Chief Executive</w:t>
            </w:r>
          </w:p>
        </w:tc>
        <w:tc>
          <w:tcPr>
            <w:tcW w:w="2414" w:type="dxa"/>
          </w:tcPr>
          <w:p w14:paraId="64ACABB9" w14:textId="77777777" w:rsidR="009B369E" w:rsidRPr="00A947DA" w:rsidRDefault="009B369E" w:rsidP="009B369E">
            <w:pPr>
              <w:rPr>
                <w:rFonts w:cs="Arial"/>
                <w:szCs w:val="22"/>
              </w:rPr>
            </w:pPr>
            <w:r w:rsidRPr="00A947DA">
              <w:rPr>
                <w:rFonts w:cs="Arial"/>
                <w:szCs w:val="22"/>
              </w:rPr>
              <w:t>Over £1</w:t>
            </w:r>
            <w:r>
              <w:rPr>
                <w:rFonts w:cs="Arial"/>
                <w:szCs w:val="22"/>
              </w:rPr>
              <w:t>50,000</w:t>
            </w:r>
          </w:p>
        </w:tc>
      </w:tr>
      <w:tr w:rsidR="009B369E" w:rsidRPr="00A947DA" w14:paraId="64ACABBD" w14:textId="77777777" w:rsidTr="009B369E">
        <w:tc>
          <w:tcPr>
            <w:tcW w:w="5524" w:type="dxa"/>
          </w:tcPr>
          <w:p w14:paraId="64ACABBB" w14:textId="77777777" w:rsidR="009B369E" w:rsidRPr="00A947DA" w:rsidRDefault="009B369E" w:rsidP="009B369E">
            <w:pPr>
              <w:rPr>
                <w:rFonts w:cs="Arial"/>
                <w:szCs w:val="22"/>
              </w:rPr>
            </w:pPr>
            <w:r>
              <w:rPr>
                <w:rFonts w:cs="Arial"/>
                <w:szCs w:val="22"/>
              </w:rPr>
              <w:t xml:space="preserve">Strategic Management Team </w:t>
            </w:r>
          </w:p>
        </w:tc>
        <w:tc>
          <w:tcPr>
            <w:tcW w:w="2414" w:type="dxa"/>
          </w:tcPr>
          <w:p w14:paraId="64ACABBC" w14:textId="77777777" w:rsidR="009B369E" w:rsidRPr="00A947DA" w:rsidRDefault="009B369E" w:rsidP="009B369E">
            <w:pPr>
              <w:rPr>
                <w:rFonts w:cs="Arial"/>
                <w:szCs w:val="22"/>
              </w:rPr>
            </w:pPr>
            <w:r w:rsidRPr="00A947DA">
              <w:rPr>
                <w:rFonts w:cs="Arial"/>
                <w:szCs w:val="22"/>
              </w:rPr>
              <w:t>£1</w:t>
            </w:r>
            <w:r>
              <w:rPr>
                <w:rFonts w:cs="Arial"/>
                <w:szCs w:val="22"/>
              </w:rPr>
              <w:t>50,000</w:t>
            </w:r>
          </w:p>
        </w:tc>
      </w:tr>
      <w:tr w:rsidR="009B369E" w:rsidRPr="00A947DA" w14:paraId="64ACABC0" w14:textId="77777777" w:rsidTr="009B369E">
        <w:tc>
          <w:tcPr>
            <w:tcW w:w="5524" w:type="dxa"/>
          </w:tcPr>
          <w:p w14:paraId="64ACABBE" w14:textId="77777777" w:rsidR="009B369E" w:rsidRPr="00A947DA" w:rsidRDefault="009B369E" w:rsidP="009B369E">
            <w:pPr>
              <w:rPr>
                <w:rFonts w:cs="Arial"/>
                <w:szCs w:val="22"/>
              </w:rPr>
            </w:pPr>
            <w:r>
              <w:rPr>
                <w:rFonts w:cs="Arial"/>
                <w:szCs w:val="22"/>
              </w:rPr>
              <w:t>Senior Managers</w:t>
            </w:r>
            <w:r w:rsidRPr="00A947DA">
              <w:rPr>
                <w:rFonts w:cs="Arial"/>
                <w:szCs w:val="22"/>
              </w:rPr>
              <w:t xml:space="preserve"> (Grade</w:t>
            </w:r>
            <w:r>
              <w:rPr>
                <w:rFonts w:cs="Arial"/>
                <w:szCs w:val="22"/>
              </w:rPr>
              <w:t>s</w:t>
            </w:r>
            <w:r w:rsidRPr="00A947DA">
              <w:rPr>
                <w:rFonts w:cs="Arial"/>
                <w:szCs w:val="22"/>
              </w:rPr>
              <w:t xml:space="preserve"> 8/9/10)</w:t>
            </w:r>
          </w:p>
        </w:tc>
        <w:tc>
          <w:tcPr>
            <w:tcW w:w="2414" w:type="dxa"/>
          </w:tcPr>
          <w:p w14:paraId="64ACABBF" w14:textId="77777777" w:rsidR="009B369E" w:rsidRPr="00A947DA" w:rsidRDefault="009B369E" w:rsidP="009B369E">
            <w:pPr>
              <w:rPr>
                <w:rFonts w:cs="Arial"/>
                <w:szCs w:val="22"/>
              </w:rPr>
            </w:pPr>
            <w:r>
              <w:rPr>
                <w:rFonts w:cs="Arial"/>
                <w:szCs w:val="22"/>
              </w:rPr>
              <w:t>£50,000</w:t>
            </w:r>
          </w:p>
        </w:tc>
      </w:tr>
      <w:tr w:rsidR="009B369E" w:rsidRPr="00A947DA" w14:paraId="64ACABC3" w14:textId="77777777" w:rsidTr="009B369E">
        <w:tc>
          <w:tcPr>
            <w:tcW w:w="5524" w:type="dxa"/>
          </w:tcPr>
          <w:p w14:paraId="64ACABC1" w14:textId="77777777" w:rsidR="009B369E" w:rsidRPr="00A947DA" w:rsidRDefault="009B369E" w:rsidP="009B369E">
            <w:pPr>
              <w:rPr>
                <w:rFonts w:cs="Arial"/>
                <w:szCs w:val="22"/>
              </w:rPr>
            </w:pPr>
            <w:r>
              <w:rPr>
                <w:rFonts w:cs="Arial"/>
                <w:szCs w:val="22"/>
              </w:rPr>
              <w:t>Managers/</w:t>
            </w:r>
            <w:r w:rsidRPr="00A947DA">
              <w:rPr>
                <w:rFonts w:cs="Arial"/>
                <w:szCs w:val="22"/>
              </w:rPr>
              <w:t>Programme Managers/Senior</w:t>
            </w:r>
            <w:r>
              <w:rPr>
                <w:rFonts w:cs="Arial"/>
                <w:szCs w:val="22"/>
              </w:rPr>
              <w:t xml:space="preserve"> &amp; Principal</w:t>
            </w:r>
            <w:r w:rsidRPr="00A947DA">
              <w:rPr>
                <w:rFonts w:cs="Arial"/>
                <w:szCs w:val="22"/>
              </w:rPr>
              <w:t xml:space="preserve"> Advisers/</w:t>
            </w:r>
            <w:r>
              <w:rPr>
                <w:rFonts w:cs="Arial"/>
                <w:szCs w:val="22"/>
              </w:rPr>
              <w:t xml:space="preserve"> Heads of Group Offices</w:t>
            </w:r>
            <w:r w:rsidRPr="00A947DA">
              <w:rPr>
                <w:rFonts w:cs="Arial"/>
                <w:szCs w:val="22"/>
              </w:rPr>
              <w:t xml:space="preserve"> (Grade</w:t>
            </w:r>
            <w:r>
              <w:rPr>
                <w:rFonts w:cs="Arial"/>
                <w:szCs w:val="22"/>
              </w:rPr>
              <w:t>s</w:t>
            </w:r>
            <w:r w:rsidRPr="00A947DA">
              <w:rPr>
                <w:rFonts w:cs="Arial"/>
                <w:szCs w:val="22"/>
              </w:rPr>
              <w:t xml:space="preserve"> </w:t>
            </w:r>
            <w:r>
              <w:rPr>
                <w:rFonts w:cs="Arial"/>
                <w:szCs w:val="22"/>
              </w:rPr>
              <w:t xml:space="preserve">6 - </w:t>
            </w:r>
            <w:r w:rsidRPr="00A947DA">
              <w:rPr>
                <w:rFonts w:cs="Arial"/>
                <w:szCs w:val="22"/>
              </w:rPr>
              <w:t>9)</w:t>
            </w:r>
          </w:p>
        </w:tc>
        <w:tc>
          <w:tcPr>
            <w:tcW w:w="2414" w:type="dxa"/>
          </w:tcPr>
          <w:p w14:paraId="64ACABC2" w14:textId="77777777" w:rsidR="009B369E" w:rsidRPr="00A947DA" w:rsidRDefault="009B369E" w:rsidP="009B369E">
            <w:pPr>
              <w:rPr>
                <w:rFonts w:cs="Arial"/>
                <w:szCs w:val="22"/>
              </w:rPr>
            </w:pPr>
            <w:r>
              <w:rPr>
                <w:rFonts w:cs="Arial"/>
                <w:szCs w:val="22"/>
              </w:rPr>
              <w:t>£25,000</w:t>
            </w:r>
          </w:p>
        </w:tc>
      </w:tr>
      <w:tr w:rsidR="009B369E" w:rsidRPr="00A947DA" w14:paraId="64ACABC6" w14:textId="77777777" w:rsidTr="009B369E">
        <w:tc>
          <w:tcPr>
            <w:tcW w:w="5524" w:type="dxa"/>
          </w:tcPr>
          <w:p w14:paraId="64ACABC4" w14:textId="77777777" w:rsidR="009B369E" w:rsidRPr="00A947DA" w:rsidRDefault="009B369E" w:rsidP="009B369E">
            <w:pPr>
              <w:rPr>
                <w:rFonts w:cs="Arial"/>
                <w:szCs w:val="22"/>
              </w:rPr>
            </w:pPr>
            <w:r>
              <w:rPr>
                <w:rFonts w:cs="Arial"/>
                <w:szCs w:val="22"/>
              </w:rPr>
              <w:t>Designated b</w:t>
            </w:r>
            <w:r w:rsidRPr="00A947DA">
              <w:rPr>
                <w:rFonts w:cs="Arial"/>
                <w:szCs w:val="22"/>
              </w:rPr>
              <w:t>usiness support staff (Gr</w:t>
            </w:r>
            <w:r>
              <w:rPr>
                <w:rFonts w:cs="Arial"/>
                <w:szCs w:val="22"/>
              </w:rPr>
              <w:t xml:space="preserve">ades </w:t>
            </w:r>
            <w:r w:rsidRPr="00A947DA">
              <w:rPr>
                <w:rFonts w:cs="Arial"/>
                <w:szCs w:val="22"/>
              </w:rPr>
              <w:t>4 and 5)</w:t>
            </w:r>
          </w:p>
        </w:tc>
        <w:tc>
          <w:tcPr>
            <w:tcW w:w="2414" w:type="dxa"/>
          </w:tcPr>
          <w:p w14:paraId="64ACABC5" w14:textId="77777777" w:rsidR="009B369E" w:rsidRPr="00A947DA" w:rsidRDefault="009B369E" w:rsidP="009B369E">
            <w:pPr>
              <w:rPr>
                <w:rFonts w:cs="Arial"/>
                <w:szCs w:val="22"/>
              </w:rPr>
            </w:pPr>
            <w:r w:rsidRPr="00A947DA">
              <w:rPr>
                <w:rFonts w:cs="Arial"/>
                <w:szCs w:val="22"/>
              </w:rPr>
              <w:t>£5</w:t>
            </w:r>
            <w:r>
              <w:rPr>
                <w:rFonts w:cs="Arial"/>
                <w:szCs w:val="22"/>
              </w:rPr>
              <w:t>,000</w:t>
            </w:r>
          </w:p>
        </w:tc>
      </w:tr>
    </w:tbl>
    <w:p w14:paraId="64ACABC7" w14:textId="77777777" w:rsidR="009B369E" w:rsidRPr="003375C7" w:rsidRDefault="009B369E" w:rsidP="003375C7">
      <w:pPr>
        <w:pStyle w:val="ListParagraph"/>
        <w:numPr>
          <w:ilvl w:val="1"/>
          <w:numId w:val="3"/>
        </w:numPr>
        <w:spacing w:after="0"/>
        <w:contextualSpacing/>
        <w:outlineLvl w:val="0"/>
        <w:rPr>
          <w:rFonts w:cs="Arial"/>
          <w:szCs w:val="22"/>
        </w:rPr>
      </w:pPr>
      <w:r w:rsidRPr="003375C7">
        <w:rPr>
          <w:rFonts w:cs="Arial"/>
          <w:szCs w:val="22"/>
        </w:rPr>
        <w:t xml:space="preserve">The following limits apply to financial decisions for different grades of staff.  </w:t>
      </w:r>
      <w:r w:rsidRPr="003375C7">
        <w:rPr>
          <w:rFonts w:cs="Arial"/>
          <w:szCs w:val="22"/>
        </w:rPr>
        <w:br/>
      </w:r>
      <w:r w:rsidRPr="003375C7">
        <w:rPr>
          <w:rFonts w:cs="Arial"/>
          <w:szCs w:val="22"/>
        </w:rPr>
        <w:br/>
      </w:r>
      <w:r w:rsidRPr="003375C7">
        <w:rPr>
          <w:rFonts w:cs="Arial"/>
          <w:szCs w:val="22"/>
        </w:rPr>
        <w:br/>
      </w:r>
      <w:r w:rsidRPr="003375C7">
        <w:rPr>
          <w:rFonts w:cs="Arial"/>
          <w:szCs w:val="22"/>
        </w:rPr>
        <w:br/>
      </w:r>
      <w:r w:rsidRPr="003375C7">
        <w:rPr>
          <w:rFonts w:cs="Arial"/>
          <w:szCs w:val="22"/>
        </w:rPr>
        <w:br/>
      </w:r>
      <w:r w:rsidRPr="003375C7">
        <w:rPr>
          <w:rFonts w:cs="Arial"/>
          <w:szCs w:val="22"/>
        </w:rPr>
        <w:br/>
      </w:r>
      <w:r w:rsidRPr="003375C7">
        <w:rPr>
          <w:rFonts w:cs="Arial"/>
          <w:szCs w:val="22"/>
        </w:rPr>
        <w:br/>
      </w:r>
      <w:r w:rsidRPr="003375C7">
        <w:rPr>
          <w:rFonts w:cs="Arial"/>
          <w:szCs w:val="22"/>
        </w:rPr>
        <w:br/>
      </w:r>
      <w:r w:rsidRPr="003375C7">
        <w:rPr>
          <w:rFonts w:cs="Arial"/>
          <w:szCs w:val="22"/>
        </w:rPr>
        <w:br/>
      </w:r>
      <w:r w:rsidRPr="003375C7">
        <w:rPr>
          <w:rFonts w:cs="Arial"/>
          <w:szCs w:val="22"/>
        </w:rPr>
        <w:br/>
      </w:r>
    </w:p>
    <w:p w14:paraId="64ACABC8" w14:textId="77777777" w:rsidR="00A731B3" w:rsidRDefault="009B369E" w:rsidP="009B369E">
      <w:pPr>
        <w:pStyle w:val="ListParagraph"/>
        <w:numPr>
          <w:ilvl w:val="0"/>
          <w:numId w:val="3"/>
        </w:numPr>
        <w:spacing w:after="0"/>
        <w:contextualSpacing/>
        <w:outlineLvl w:val="0"/>
        <w:rPr>
          <w:rFonts w:cs="Arial"/>
          <w:b/>
          <w:szCs w:val="22"/>
        </w:rPr>
      </w:pPr>
      <w:r w:rsidRPr="000A145C">
        <w:rPr>
          <w:rFonts w:cs="Arial"/>
          <w:b/>
          <w:szCs w:val="22"/>
        </w:rPr>
        <w:lastRenderedPageBreak/>
        <w:t xml:space="preserve"> Allocation of Corporate </w:t>
      </w:r>
      <w:r>
        <w:rPr>
          <w:rFonts w:cs="Arial"/>
          <w:b/>
          <w:szCs w:val="22"/>
        </w:rPr>
        <w:t>Payment</w:t>
      </w:r>
      <w:r w:rsidRPr="000A145C">
        <w:rPr>
          <w:rFonts w:cs="Arial"/>
          <w:b/>
          <w:szCs w:val="22"/>
        </w:rPr>
        <w:t xml:space="preserve"> Cards</w:t>
      </w:r>
    </w:p>
    <w:p w14:paraId="13227FFE" w14:textId="77777777" w:rsidR="00FD0186" w:rsidRDefault="00FD0186" w:rsidP="00FD0186">
      <w:pPr>
        <w:pStyle w:val="ListParagraph"/>
        <w:spacing w:after="0"/>
        <w:ind w:left="360"/>
        <w:contextualSpacing/>
        <w:outlineLvl w:val="0"/>
        <w:rPr>
          <w:rFonts w:cs="Arial"/>
          <w:b/>
          <w:szCs w:val="22"/>
        </w:rPr>
      </w:pPr>
    </w:p>
    <w:p w14:paraId="64ACABC9" w14:textId="77777777" w:rsidR="005503E9" w:rsidRPr="00A731B3" w:rsidRDefault="00A731B3" w:rsidP="00A731B3">
      <w:pPr>
        <w:pStyle w:val="ListParagraph"/>
        <w:numPr>
          <w:ilvl w:val="1"/>
          <w:numId w:val="3"/>
        </w:numPr>
        <w:spacing w:after="0"/>
        <w:contextualSpacing/>
        <w:outlineLvl w:val="0"/>
        <w:rPr>
          <w:rFonts w:cs="Arial"/>
          <w:szCs w:val="22"/>
        </w:rPr>
      </w:pPr>
      <w:r>
        <w:rPr>
          <w:rFonts w:cs="Arial"/>
          <w:szCs w:val="22"/>
        </w:rPr>
        <w:t xml:space="preserve">Corporate payment cards are made available to deal with transactions that require immediate payment, including internet payments for services. </w:t>
      </w:r>
    </w:p>
    <w:tbl>
      <w:tblPr>
        <w:tblpPr w:leftFromText="180" w:rightFromText="180" w:vertAnchor="text" w:horzAnchor="margin" w:tblpXSpec="center" w:tblpY="36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9"/>
        <w:gridCol w:w="6520"/>
        <w:gridCol w:w="992"/>
      </w:tblGrid>
      <w:tr w:rsidR="005503E9" w14:paraId="64ACABCD" w14:textId="77777777" w:rsidTr="008B4FD9">
        <w:trPr>
          <w:trHeight w:val="285"/>
        </w:trPr>
        <w:tc>
          <w:tcPr>
            <w:tcW w:w="988" w:type="dxa"/>
            <w:noWrap/>
            <w:tcMar>
              <w:top w:w="0" w:type="dxa"/>
              <w:left w:w="108" w:type="dxa"/>
              <w:bottom w:w="0" w:type="dxa"/>
              <w:right w:w="108" w:type="dxa"/>
            </w:tcMar>
            <w:vAlign w:val="bottom"/>
            <w:hideMark/>
          </w:tcPr>
          <w:p w14:paraId="64ACABCA" w14:textId="77777777" w:rsidR="005503E9" w:rsidRDefault="005503E9" w:rsidP="008B4FD9">
            <w:pPr>
              <w:rPr>
                <w:rFonts w:cs="Arial"/>
              </w:rPr>
            </w:pPr>
            <w:r>
              <w:rPr>
                <w:rFonts w:cs="Arial"/>
              </w:rPr>
              <w:t>Category</w:t>
            </w:r>
          </w:p>
        </w:tc>
        <w:tc>
          <w:tcPr>
            <w:tcW w:w="6520" w:type="dxa"/>
            <w:noWrap/>
            <w:tcMar>
              <w:top w:w="0" w:type="dxa"/>
              <w:left w:w="108" w:type="dxa"/>
              <w:bottom w:w="0" w:type="dxa"/>
              <w:right w:w="108" w:type="dxa"/>
            </w:tcMar>
            <w:vAlign w:val="bottom"/>
            <w:hideMark/>
          </w:tcPr>
          <w:p w14:paraId="64ACABCB" w14:textId="77777777" w:rsidR="005503E9" w:rsidRDefault="005503E9" w:rsidP="008B4FD9">
            <w:pPr>
              <w:rPr>
                <w:rFonts w:cs="Arial"/>
              </w:rPr>
            </w:pPr>
            <w:r>
              <w:rPr>
                <w:rFonts w:cs="Arial"/>
              </w:rPr>
              <w:t> </w:t>
            </w:r>
            <w:r>
              <w:rPr>
                <w:rFonts w:cs="Arial"/>
                <w:b/>
                <w:bCs/>
              </w:rPr>
              <w:t>Allocation of Corporate Payment Cards and Card Limits</w:t>
            </w:r>
          </w:p>
        </w:tc>
        <w:tc>
          <w:tcPr>
            <w:tcW w:w="992" w:type="dxa"/>
            <w:noWrap/>
            <w:tcMar>
              <w:top w:w="0" w:type="dxa"/>
              <w:left w:w="108" w:type="dxa"/>
              <w:bottom w:w="0" w:type="dxa"/>
              <w:right w:w="108" w:type="dxa"/>
            </w:tcMar>
            <w:vAlign w:val="bottom"/>
            <w:hideMark/>
          </w:tcPr>
          <w:p w14:paraId="64ACABCC" w14:textId="77777777" w:rsidR="005503E9" w:rsidRDefault="005503E9" w:rsidP="008B4FD9">
            <w:pPr>
              <w:rPr>
                <w:rFonts w:cs="Arial"/>
              </w:rPr>
            </w:pPr>
            <w:r>
              <w:rPr>
                <w:rFonts w:cs="Arial"/>
              </w:rPr>
              <w:t> </w:t>
            </w:r>
          </w:p>
        </w:tc>
      </w:tr>
      <w:tr w:rsidR="005503E9" w14:paraId="64ACABD1" w14:textId="77777777" w:rsidTr="008B4FD9">
        <w:trPr>
          <w:trHeight w:val="285"/>
        </w:trPr>
        <w:tc>
          <w:tcPr>
            <w:tcW w:w="988" w:type="dxa"/>
            <w:noWrap/>
            <w:tcMar>
              <w:top w:w="0" w:type="dxa"/>
              <w:left w:w="108" w:type="dxa"/>
              <w:bottom w:w="0" w:type="dxa"/>
              <w:right w:w="108" w:type="dxa"/>
            </w:tcMar>
            <w:vAlign w:val="bottom"/>
            <w:hideMark/>
          </w:tcPr>
          <w:p w14:paraId="64ACABCE" w14:textId="77777777" w:rsidR="005503E9" w:rsidRDefault="005503E9" w:rsidP="008B4FD9">
            <w:pPr>
              <w:rPr>
                <w:rFonts w:cs="Arial"/>
              </w:rPr>
            </w:pPr>
            <w:r>
              <w:rPr>
                <w:rFonts w:cs="Arial"/>
              </w:rPr>
              <w:t>A</w:t>
            </w:r>
          </w:p>
        </w:tc>
        <w:tc>
          <w:tcPr>
            <w:tcW w:w="6520" w:type="dxa"/>
            <w:noWrap/>
            <w:tcMar>
              <w:top w:w="0" w:type="dxa"/>
              <w:left w:w="108" w:type="dxa"/>
              <w:bottom w:w="0" w:type="dxa"/>
              <w:right w:w="108" w:type="dxa"/>
            </w:tcMar>
            <w:vAlign w:val="bottom"/>
            <w:hideMark/>
          </w:tcPr>
          <w:p w14:paraId="64ACABCF" w14:textId="77777777" w:rsidR="005503E9" w:rsidRDefault="005503E9" w:rsidP="008B4FD9">
            <w:pPr>
              <w:rPr>
                <w:rFonts w:cs="Arial"/>
              </w:rPr>
            </w:pPr>
            <w:r>
              <w:rPr>
                <w:rFonts w:cs="Arial"/>
              </w:rPr>
              <w:t>Chief Executive and Deputy Chief Executive</w:t>
            </w:r>
          </w:p>
        </w:tc>
        <w:tc>
          <w:tcPr>
            <w:tcW w:w="992" w:type="dxa"/>
            <w:noWrap/>
            <w:tcMar>
              <w:top w:w="0" w:type="dxa"/>
              <w:left w:w="108" w:type="dxa"/>
              <w:bottom w:w="0" w:type="dxa"/>
              <w:right w:w="108" w:type="dxa"/>
            </w:tcMar>
            <w:vAlign w:val="bottom"/>
            <w:hideMark/>
          </w:tcPr>
          <w:p w14:paraId="64ACABD0" w14:textId="77777777" w:rsidR="005503E9" w:rsidRDefault="005503E9" w:rsidP="008B4FD9">
            <w:pPr>
              <w:jc w:val="right"/>
              <w:rPr>
                <w:rFonts w:cs="Arial"/>
              </w:rPr>
            </w:pPr>
            <w:r>
              <w:rPr>
                <w:rFonts w:cs="Arial"/>
              </w:rPr>
              <w:t>£3,000</w:t>
            </w:r>
          </w:p>
        </w:tc>
      </w:tr>
      <w:tr w:rsidR="005503E9" w14:paraId="64ACABD5" w14:textId="77777777" w:rsidTr="008B4FD9">
        <w:trPr>
          <w:trHeight w:val="285"/>
        </w:trPr>
        <w:tc>
          <w:tcPr>
            <w:tcW w:w="988" w:type="dxa"/>
            <w:noWrap/>
            <w:tcMar>
              <w:top w:w="0" w:type="dxa"/>
              <w:left w:w="108" w:type="dxa"/>
              <w:bottom w:w="0" w:type="dxa"/>
              <w:right w:w="108" w:type="dxa"/>
            </w:tcMar>
            <w:vAlign w:val="bottom"/>
            <w:hideMark/>
          </w:tcPr>
          <w:p w14:paraId="64ACABD2" w14:textId="77777777" w:rsidR="005503E9" w:rsidRDefault="005503E9" w:rsidP="008B4FD9">
            <w:pPr>
              <w:rPr>
                <w:rFonts w:cs="Arial"/>
              </w:rPr>
            </w:pPr>
            <w:r>
              <w:rPr>
                <w:rFonts w:cs="Arial"/>
              </w:rPr>
              <w:t>B</w:t>
            </w:r>
          </w:p>
        </w:tc>
        <w:tc>
          <w:tcPr>
            <w:tcW w:w="6520" w:type="dxa"/>
            <w:noWrap/>
            <w:tcMar>
              <w:top w:w="0" w:type="dxa"/>
              <w:left w:w="108" w:type="dxa"/>
              <w:bottom w:w="0" w:type="dxa"/>
              <w:right w:w="108" w:type="dxa"/>
            </w:tcMar>
            <w:vAlign w:val="bottom"/>
            <w:hideMark/>
          </w:tcPr>
          <w:p w14:paraId="64ACABD3" w14:textId="77777777" w:rsidR="005503E9" w:rsidRDefault="005503E9" w:rsidP="008B4FD9">
            <w:pPr>
              <w:rPr>
                <w:rFonts w:cs="Arial"/>
              </w:rPr>
            </w:pPr>
            <w:r>
              <w:rPr>
                <w:rFonts w:cs="Arial"/>
                <w:szCs w:val="22"/>
              </w:rPr>
              <w:t>Strategic Management Team</w:t>
            </w:r>
          </w:p>
        </w:tc>
        <w:tc>
          <w:tcPr>
            <w:tcW w:w="992" w:type="dxa"/>
            <w:noWrap/>
            <w:tcMar>
              <w:top w:w="0" w:type="dxa"/>
              <w:left w:w="108" w:type="dxa"/>
              <w:bottom w:w="0" w:type="dxa"/>
              <w:right w:w="108" w:type="dxa"/>
            </w:tcMar>
            <w:vAlign w:val="bottom"/>
            <w:hideMark/>
          </w:tcPr>
          <w:p w14:paraId="64ACABD4" w14:textId="77777777" w:rsidR="005503E9" w:rsidRDefault="005503E9" w:rsidP="008B4FD9">
            <w:pPr>
              <w:jc w:val="right"/>
              <w:rPr>
                <w:rFonts w:cs="Arial"/>
              </w:rPr>
            </w:pPr>
            <w:r>
              <w:rPr>
                <w:rFonts w:cs="Arial"/>
              </w:rPr>
              <w:t>£2,000</w:t>
            </w:r>
          </w:p>
        </w:tc>
      </w:tr>
      <w:tr w:rsidR="005503E9" w14:paraId="64ACABD9" w14:textId="77777777" w:rsidTr="008B4FD9">
        <w:trPr>
          <w:trHeight w:val="285"/>
        </w:trPr>
        <w:tc>
          <w:tcPr>
            <w:tcW w:w="988" w:type="dxa"/>
            <w:noWrap/>
            <w:tcMar>
              <w:top w:w="0" w:type="dxa"/>
              <w:left w:w="108" w:type="dxa"/>
              <w:bottom w:w="0" w:type="dxa"/>
              <w:right w:w="108" w:type="dxa"/>
            </w:tcMar>
            <w:vAlign w:val="bottom"/>
            <w:hideMark/>
          </w:tcPr>
          <w:p w14:paraId="64ACABD6" w14:textId="77777777" w:rsidR="005503E9" w:rsidRDefault="005503E9" w:rsidP="008B4FD9">
            <w:pPr>
              <w:rPr>
                <w:rFonts w:cs="Arial"/>
              </w:rPr>
            </w:pPr>
            <w:r>
              <w:rPr>
                <w:rFonts w:cs="Arial"/>
              </w:rPr>
              <w:t>C</w:t>
            </w:r>
          </w:p>
        </w:tc>
        <w:tc>
          <w:tcPr>
            <w:tcW w:w="6520" w:type="dxa"/>
            <w:noWrap/>
            <w:tcMar>
              <w:top w:w="0" w:type="dxa"/>
              <w:left w:w="108" w:type="dxa"/>
              <w:bottom w:w="0" w:type="dxa"/>
              <w:right w:w="108" w:type="dxa"/>
            </w:tcMar>
            <w:vAlign w:val="bottom"/>
            <w:hideMark/>
          </w:tcPr>
          <w:p w14:paraId="64ACABD7" w14:textId="77777777" w:rsidR="005503E9" w:rsidRDefault="005503E9" w:rsidP="008B4FD9">
            <w:pPr>
              <w:rPr>
                <w:rFonts w:cs="Arial"/>
              </w:rPr>
            </w:pPr>
            <w:r>
              <w:rPr>
                <w:rFonts w:cs="Arial"/>
              </w:rPr>
              <w:t>Strategic Finance Manager and Conferences &amp; Events Manager</w:t>
            </w:r>
          </w:p>
        </w:tc>
        <w:tc>
          <w:tcPr>
            <w:tcW w:w="992" w:type="dxa"/>
            <w:noWrap/>
            <w:tcMar>
              <w:top w:w="0" w:type="dxa"/>
              <w:left w:w="108" w:type="dxa"/>
              <w:bottom w:w="0" w:type="dxa"/>
              <w:right w:w="108" w:type="dxa"/>
            </w:tcMar>
            <w:vAlign w:val="bottom"/>
            <w:hideMark/>
          </w:tcPr>
          <w:p w14:paraId="64ACABD8" w14:textId="77777777" w:rsidR="005503E9" w:rsidRDefault="005503E9" w:rsidP="008B4FD9">
            <w:pPr>
              <w:jc w:val="right"/>
              <w:rPr>
                <w:rFonts w:cs="Arial"/>
              </w:rPr>
            </w:pPr>
            <w:r>
              <w:rPr>
                <w:rFonts w:cs="Arial"/>
              </w:rPr>
              <w:t>£5,000</w:t>
            </w:r>
          </w:p>
        </w:tc>
      </w:tr>
      <w:tr w:rsidR="005503E9" w14:paraId="64ACABDD" w14:textId="77777777" w:rsidTr="008B4FD9">
        <w:trPr>
          <w:trHeight w:val="285"/>
        </w:trPr>
        <w:tc>
          <w:tcPr>
            <w:tcW w:w="988" w:type="dxa"/>
            <w:noWrap/>
            <w:tcMar>
              <w:top w:w="0" w:type="dxa"/>
              <w:left w:w="108" w:type="dxa"/>
              <w:bottom w:w="0" w:type="dxa"/>
              <w:right w:w="108" w:type="dxa"/>
            </w:tcMar>
            <w:vAlign w:val="bottom"/>
            <w:hideMark/>
          </w:tcPr>
          <w:p w14:paraId="64ACABDA" w14:textId="77777777" w:rsidR="005503E9" w:rsidRDefault="005503E9" w:rsidP="008B4FD9">
            <w:pPr>
              <w:rPr>
                <w:rFonts w:cs="Arial"/>
              </w:rPr>
            </w:pPr>
            <w:r>
              <w:rPr>
                <w:rFonts w:cs="Arial"/>
              </w:rPr>
              <w:t>D</w:t>
            </w:r>
          </w:p>
        </w:tc>
        <w:tc>
          <w:tcPr>
            <w:tcW w:w="6520" w:type="dxa"/>
            <w:noWrap/>
            <w:tcMar>
              <w:top w:w="0" w:type="dxa"/>
              <w:left w:w="108" w:type="dxa"/>
              <w:bottom w:w="0" w:type="dxa"/>
              <w:right w:w="108" w:type="dxa"/>
            </w:tcMar>
            <w:vAlign w:val="bottom"/>
            <w:hideMark/>
          </w:tcPr>
          <w:p w14:paraId="64ACABDB" w14:textId="77777777" w:rsidR="005503E9" w:rsidRDefault="005503E9" w:rsidP="008B4FD9">
            <w:pPr>
              <w:rPr>
                <w:rFonts w:cs="Arial"/>
              </w:rPr>
            </w:pPr>
            <w:r>
              <w:rPr>
                <w:rFonts w:cs="Arial"/>
              </w:rPr>
              <w:t>Senior Managers (Grades 8/9/10)</w:t>
            </w:r>
          </w:p>
        </w:tc>
        <w:tc>
          <w:tcPr>
            <w:tcW w:w="992" w:type="dxa"/>
            <w:noWrap/>
            <w:tcMar>
              <w:top w:w="0" w:type="dxa"/>
              <w:left w:w="108" w:type="dxa"/>
              <w:bottom w:w="0" w:type="dxa"/>
              <w:right w:w="108" w:type="dxa"/>
            </w:tcMar>
            <w:vAlign w:val="bottom"/>
            <w:hideMark/>
          </w:tcPr>
          <w:p w14:paraId="64ACABDC" w14:textId="77777777" w:rsidR="005503E9" w:rsidRDefault="005503E9" w:rsidP="008B4FD9">
            <w:pPr>
              <w:jc w:val="right"/>
              <w:rPr>
                <w:rFonts w:cs="Arial"/>
              </w:rPr>
            </w:pPr>
            <w:r>
              <w:rPr>
                <w:rFonts w:cs="Arial"/>
              </w:rPr>
              <w:t>£1,000</w:t>
            </w:r>
          </w:p>
        </w:tc>
      </w:tr>
      <w:tr w:rsidR="005503E9" w14:paraId="64ACABE1" w14:textId="77777777" w:rsidTr="008B4FD9">
        <w:trPr>
          <w:trHeight w:val="285"/>
        </w:trPr>
        <w:tc>
          <w:tcPr>
            <w:tcW w:w="988" w:type="dxa"/>
            <w:noWrap/>
            <w:tcMar>
              <w:top w:w="0" w:type="dxa"/>
              <w:left w:w="108" w:type="dxa"/>
              <w:bottom w:w="0" w:type="dxa"/>
              <w:right w:w="108" w:type="dxa"/>
            </w:tcMar>
            <w:vAlign w:val="bottom"/>
            <w:hideMark/>
          </w:tcPr>
          <w:p w14:paraId="64ACABDE" w14:textId="77777777" w:rsidR="005503E9" w:rsidRDefault="005503E9" w:rsidP="008B4FD9">
            <w:pPr>
              <w:rPr>
                <w:rFonts w:cs="Arial"/>
              </w:rPr>
            </w:pPr>
            <w:r>
              <w:rPr>
                <w:rFonts w:cs="Arial"/>
              </w:rPr>
              <w:t>E</w:t>
            </w:r>
          </w:p>
        </w:tc>
        <w:tc>
          <w:tcPr>
            <w:tcW w:w="6520" w:type="dxa"/>
            <w:noWrap/>
            <w:tcMar>
              <w:top w:w="0" w:type="dxa"/>
              <w:left w:w="108" w:type="dxa"/>
              <w:bottom w:w="0" w:type="dxa"/>
              <w:right w:w="108" w:type="dxa"/>
            </w:tcMar>
            <w:vAlign w:val="bottom"/>
            <w:hideMark/>
          </w:tcPr>
          <w:p w14:paraId="64ACABDF" w14:textId="77777777" w:rsidR="005503E9" w:rsidRDefault="005503E9" w:rsidP="008B4FD9">
            <w:pPr>
              <w:rPr>
                <w:rFonts w:cs="Arial"/>
              </w:rPr>
            </w:pPr>
            <w:r>
              <w:rPr>
                <w:rFonts w:cs="Arial"/>
              </w:rPr>
              <w:t>Heads of Group Offices</w:t>
            </w:r>
          </w:p>
        </w:tc>
        <w:tc>
          <w:tcPr>
            <w:tcW w:w="992" w:type="dxa"/>
            <w:noWrap/>
            <w:tcMar>
              <w:top w:w="0" w:type="dxa"/>
              <w:left w:w="108" w:type="dxa"/>
              <w:bottom w:w="0" w:type="dxa"/>
              <w:right w:w="108" w:type="dxa"/>
            </w:tcMar>
            <w:vAlign w:val="bottom"/>
            <w:hideMark/>
          </w:tcPr>
          <w:p w14:paraId="64ACABE0" w14:textId="77777777" w:rsidR="005503E9" w:rsidRDefault="005503E9" w:rsidP="008B4FD9">
            <w:pPr>
              <w:jc w:val="right"/>
              <w:rPr>
                <w:rFonts w:cs="Arial"/>
              </w:rPr>
            </w:pPr>
            <w:r>
              <w:rPr>
                <w:rFonts w:cs="Arial"/>
              </w:rPr>
              <w:t>£1,000</w:t>
            </w:r>
          </w:p>
        </w:tc>
      </w:tr>
      <w:tr w:rsidR="005503E9" w14:paraId="64ACABE5" w14:textId="77777777" w:rsidTr="008B4FD9">
        <w:trPr>
          <w:trHeight w:val="285"/>
        </w:trPr>
        <w:tc>
          <w:tcPr>
            <w:tcW w:w="988" w:type="dxa"/>
            <w:noWrap/>
            <w:tcMar>
              <w:top w:w="0" w:type="dxa"/>
              <w:left w:w="108" w:type="dxa"/>
              <w:bottom w:w="0" w:type="dxa"/>
              <w:right w:w="108" w:type="dxa"/>
            </w:tcMar>
            <w:vAlign w:val="bottom"/>
            <w:hideMark/>
          </w:tcPr>
          <w:p w14:paraId="64ACABE2" w14:textId="77777777" w:rsidR="005503E9" w:rsidRDefault="005503E9" w:rsidP="008B4FD9">
            <w:pPr>
              <w:rPr>
                <w:rFonts w:cs="Arial"/>
              </w:rPr>
            </w:pPr>
            <w:r>
              <w:rPr>
                <w:rFonts w:cs="Arial"/>
              </w:rPr>
              <w:t>F</w:t>
            </w:r>
          </w:p>
        </w:tc>
        <w:tc>
          <w:tcPr>
            <w:tcW w:w="6520" w:type="dxa"/>
            <w:noWrap/>
            <w:tcMar>
              <w:top w:w="0" w:type="dxa"/>
              <w:left w:w="108" w:type="dxa"/>
              <w:bottom w:w="0" w:type="dxa"/>
              <w:right w:w="108" w:type="dxa"/>
            </w:tcMar>
            <w:vAlign w:val="bottom"/>
            <w:hideMark/>
          </w:tcPr>
          <w:p w14:paraId="64ACABE3" w14:textId="77777777" w:rsidR="005503E9" w:rsidRDefault="005503E9" w:rsidP="008B4FD9">
            <w:pPr>
              <w:rPr>
                <w:rFonts w:cs="Arial"/>
              </w:rPr>
            </w:pPr>
            <w:r>
              <w:rPr>
                <w:rFonts w:cs="Arial"/>
              </w:rPr>
              <w:t>European and International team advisers</w:t>
            </w:r>
          </w:p>
        </w:tc>
        <w:tc>
          <w:tcPr>
            <w:tcW w:w="992" w:type="dxa"/>
            <w:noWrap/>
            <w:tcMar>
              <w:top w:w="0" w:type="dxa"/>
              <w:left w:w="108" w:type="dxa"/>
              <w:bottom w:w="0" w:type="dxa"/>
              <w:right w:w="108" w:type="dxa"/>
            </w:tcMar>
            <w:vAlign w:val="bottom"/>
            <w:hideMark/>
          </w:tcPr>
          <w:p w14:paraId="64ACABE4" w14:textId="77777777" w:rsidR="005503E9" w:rsidRDefault="005503E9" w:rsidP="008B4FD9">
            <w:pPr>
              <w:jc w:val="right"/>
              <w:rPr>
                <w:rFonts w:cs="Arial"/>
              </w:rPr>
            </w:pPr>
            <w:r>
              <w:rPr>
                <w:rFonts w:cs="Arial"/>
              </w:rPr>
              <w:t>£2,500</w:t>
            </w:r>
          </w:p>
        </w:tc>
      </w:tr>
      <w:tr w:rsidR="005503E9" w14:paraId="64ACABE9" w14:textId="77777777" w:rsidTr="008B4FD9">
        <w:trPr>
          <w:trHeight w:val="285"/>
        </w:trPr>
        <w:tc>
          <w:tcPr>
            <w:tcW w:w="988" w:type="dxa"/>
            <w:noWrap/>
            <w:tcMar>
              <w:top w:w="0" w:type="dxa"/>
              <w:left w:w="108" w:type="dxa"/>
              <w:bottom w:w="0" w:type="dxa"/>
              <w:right w:w="108" w:type="dxa"/>
            </w:tcMar>
            <w:vAlign w:val="bottom"/>
            <w:hideMark/>
          </w:tcPr>
          <w:p w14:paraId="64ACABE6" w14:textId="77777777" w:rsidR="005503E9" w:rsidRDefault="005503E9" w:rsidP="008B4FD9">
            <w:pPr>
              <w:rPr>
                <w:rFonts w:cs="Arial"/>
              </w:rPr>
            </w:pPr>
            <w:r>
              <w:rPr>
                <w:rFonts w:cs="Arial"/>
              </w:rPr>
              <w:t>G</w:t>
            </w:r>
          </w:p>
        </w:tc>
        <w:tc>
          <w:tcPr>
            <w:tcW w:w="6520" w:type="dxa"/>
            <w:tcMar>
              <w:top w:w="0" w:type="dxa"/>
              <w:left w:w="108" w:type="dxa"/>
              <w:bottom w:w="0" w:type="dxa"/>
              <w:right w:w="108" w:type="dxa"/>
            </w:tcMar>
            <w:vAlign w:val="bottom"/>
            <w:hideMark/>
          </w:tcPr>
          <w:p w14:paraId="64ACABE7" w14:textId="77777777" w:rsidR="005503E9" w:rsidRDefault="005503E9" w:rsidP="008B4FD9">
            <w:pPr>
              <w:rPr>
                <w:rFonts w:cs="Arial"/>
              </w:rPr>
            </w:pPr>
            <w:r>
              <w:rPr>
                <w:rFonts w:cs="Arial"/>
              </w:rPr>
              <w:t>Peer Support Programme Managers and Advisers</w:t>
            </w:r>
          </w:p>
        </w:tc>
        <w:tc>
          <w:tcPr>
            <w:tcW w:w="992" w:type="dxa"/>
            <w:noWrap/>
            <w:tcMar>
              <w:top w:w="0" w:type="dxa"/>
              <w:left w:w="108" w:type="dxa"/>
              <w:bottom w:w="0" w:type="dxa"/>
              <w:right w:w="108" w:type="dxa"/>
            </w:tcMar>
            <w:vAlign w:val="bottom"/>
            <w:hideMark/>
          </w:tcPr>
          <w:p w14:paraId="64ACABE8" w14:textId="77777777" w:rsidR="005503E9" w:rsidRDefault="005503E9" w:rsidP="008B4FD9">
            <w:pPr>
              <w:jc w:val="right"/>
              <w:rPr>
                <w:rFonts w:cs="Arial"/>
              </w:rPr>
            </w:pPr>
            <w:r>
              <w:rPr>
                <w:rFonts w:cs="Arial"/>
              </w:rPr>
              <w:t>£2,000</w:t>
            </w:r>
          </w:p>
        </w:tc>
      </w:tr>
      <w:tr w:rsidR="005503E9" w14:paraId="64ACABED" w14:textId="77777777" w:rsidTr="008B4FD9">
        <w:trPr>
          <w:trHeight w:val="285"/>
        </w:trPr>
        <w:tc>
          <w:tcPr>
            <w:tcW w:w="988" w:type="dxa"/>
            <w:noWrap/>
            <w:tcMar>
              <w:top w:w="0" w:type="dxa"/>
              <w:left w:w="108" w:type="dxa"/>
              <w:bottom w:w="0" w:type="dxa"/>
              <w:right w:w="108" w:type="dxa"/>
            </w:tcMar>
            <w:vAlign w:val="bottom"/>
          </w:tcPr>
          <w:p w14:paraId="64ACABEA" w14:textId="77777777" w:rsidR="005503E9" w:rsidRDefault="005503E9" w:rsidP="008B4FD9">
            <w:pPr>
              <w:rPr>
                <w:rFonts w:cs="Arial"/>
              </w:rPr>
            </w:pPr>
            <w:r>
              <w:rPr>
                <w:rFonts w:cs="Arial"/>
              </w:rPr>
              <w:t>H</w:t>
            </w:r>
          </w:p>
        </w:tc>
        <w:tc>
          <w:tcPr>
            <w:tcW w:w="6520" w:type="dxa"/>
            <w:noWrap/>
            <w:tcMar>
              <w:top w:w="0" w:type="dxa"/>
              <w:left w:w="108" w:type="dxa"/>
              <w:bottom w:w="0" w:type="dxa"/>
              <w:right w:w="108" w:type="dxa"/>
            </w:tcMar>
            <w:vAlign w:val="bottom"/>
          </w:tcPr>
          <w:p w14:paraId="64ACABEB" w14:textId="77777777" w:rsidR="005503E9" w:rsidRDefault="005503E9" w:rsidP="008B4FD9">
            <w:pPr>
              <w:rPr>
                <w:rFonts w:cs="Arial"/>
              </w:rPr>
            </w:pPr>
            <w:r>
              <w:rPr>
                <w:rFonts w:cs="Arial"/>
              </w:rPr>
              <w:t>Corporate Services Managers (Property Asset, Facilities, ICT and Business) (Grades 5-7)</w:t>
            </w:r>
          </w:p>
        </w:tc>
        <w:tc>
          <w:tcPr>
            <w:tcW w:w="992" w:type="dxa"/>
            <w:noWrap/>
            <w:tcMar>
              <w:top w:w="0" w:type="dxa"/>
              <w:left w:w="108" w:type="dxa"/>
              <w:bottom w:w="0" w:type="dxa"/>
              <w:right w:w="108" w:type="dxa"/>
            </w:tcMar>
            <w:vAlign w:val="bottom"/>
          </w:tcPr>
          <w:p w14:paraId="64ACABEC" w14:textId="77777777" w:rsidR="005503E9" w:rsidRDefault="005503E9" w:rsidP="008B4FD9">
            <w:pPr>
              <w:jc w:val="right"/>
              <w:rPr>
                <w:rFonts w:cs="Arial"/>
              </w:rPr>
            </w:pPr>
            <w:r>
              <w:rPr>
                <w:rFonts w:cs="Arial"/>
              </w:rPr>
              <w:t>£1,000</w:t>
            </w:r>
          </w:p>
        </w:tc>
      </w:tr>
    </w:tbl>
    <w:p w14:paraId="64ACABEE" w14:textId="77777777" w:rsidR="00A731B3" w:rsidRDefault="00A731B3" w:rsidP="005503E9">
      <w:pPr>
        <w:spacing w:after="0"/>
        <w:contextualSpacing/>
        <w:outlineLvl w:val="0"/>
        <w:rPr>
          <w:rFonts w:cs="Arial"/>
          <w:szCs w:val="22"/>
        </w:rPr>
      </w:pPr>
    </w:p>
    <w:p w14:paraId="1F98F545" w14:textId="77777777" w:rsidR="00FD0186" w:rsidRPr="005503E9" w:rsidRDefault="00FD0186" w:rsidP="005503E9">
      <w:pPr>
        <w:spacing w:after="0"/>
        <w:contextualSpacing/>
        <w:outlineLvl w:val="0"/>
        <w:rPr>
          <w:rFonts w:cs="Arial"/>
          <w:szCs w:val="22"/>
        </w:rPr>
      </w:pPr>
    </w:p>
    <w:p w14:paraId="64ACABEF" w14:textId="77777777" w:rsidR="009B369E" w:rsidRDefault="009B369E" w:rsidP="00FD0186">
      <w:pPr>
        <w:pStyle w:val="ListParagraph"/>
        <w:numPr>
          <w:ilvl w:val="1"/>
          <w:numId w:val="3"/>
        </w:numPr>
        <w:spacing w:after="0"/>
        <w:contextualSpacing/>
        <w:outlineLvl w:val="0"/>
        <w:rPr>
          <w:rFonts w:cs="Arial"/>
          <w:szCs w:val="22"/>
        </w:rPr>
      </w:pPr>
      <w:r w:rsidRPr="003375C7">
        <w:rPr>
          <w:rFonts w:cs="Arial"/>
          <w:szCs w:val="22"/>
        </w:rPr>
        <w:t>Additional cards or revised limits can be agreed by exception, subject to completion of a business case and approval by the Deputy Chief Executive or appropriate Strategic Management Team (SMT) member.</w:t>
      </w:r>
    </w:p>
    <w:p w14:paraId="4A062218" w14:textId="77777777" w:rsidR="00FD0186" w:rsidRPr="003375C7" w:rsidRDefault="00FD0186" w:rsidP="00FD0186">
      <w:pPr>
        <w:pStyle w:val="ListParagraph"/>
        <w:spacing w:after="0"/>
        <w:ind w:left="792"/>
        <w:contextualSpacing/>
        <w:outlineLvl w:val="0"/>
        <w:rPr>
          <w:rFonts w:cs="Arial"/>
          <w:szCs w:val="22"/>
        </w:rPr>
      </w:pPr>
    </w:p>
    <w:p w14:paraId="64ACABF0" w14:textId="77777777" w:rsidR="009B369E" w:rsidRPr="003375C7" w:rsidRDefault="009B369E" w:rsidP="00FD0186">
      <w:pPr>
        <w:pStyle w:val="ListParagraph"/>
        <w:numPr>
          <w:ilvl w:val="0"/>
          <w:numId w:val="3"/>
        </w:numPr>
        <w:spacing w:after="0"/>
        <w:contextualSpacing/>
        <w:outlineLvl w:val="0"/>
        <w:rPr>
          <w:rFonts w:cs="Arial"/>
          <w:szCs w:val="22"/>
        </w:rPr>
      </w:pPr>
      <w:r w:rsidRPr="00DB4D2A">
        <w:rPr>
          <w:rFonts w:cs="Arial"/>
          <w:b/>
          <w:szCs w:val="22"/>
        </w:rPr>
        <w:t xml:space="preserve">Regular or recurring payments </w:t>
      </w:r>
      <w:r w:rsidRPr="00DB4D2A">
        <w:rPr>
          <w:rFonts w:cs="Arial"/>
          <w:b/>
          <w:szCs w:val="22"/>
        </w:rPr>
        <w:br/>
      </w:r>
    </w:p>
    <w:p w14:paraId="64ACABF1" w14:textId="77777777" w:rsidR="003375C7" w:rsidRPr="003375C7" w:rsidRDefault="009B369E" w:rsidP="00FD0186">
      <w:pPr>
        <w:pStyle w:val="ListParagraph"/>
        <w:numPr>
          <w:ilvl w:val="1"/>
          <w:numId w:val="3"/>
        </w:numPr>
        <w:spacing w:after="0"/>
        <w:contextualSpacing/>
        <w:outlineLvl w:val="0"/>
        <w:rPr>
          <w:rFonts w:cs="Arial"/>
          <w:szCs w:val="22"/>
        </w:rPr>
      </w:pPr>
      <w:r w:rsidRPr="003375C7">
        <w:rPr>
          <w:rFonts w:cs="Arial"/>
          <w:szCs w:val="22"/>
        </w:rPr>
        <w:t>The Chief Executive is authorised to approve expenditure in respect of regular or recurring payments arising from statutory or contractual commitments (for example staff costs, loan repayments, rates, rents, mortgage payments) subject to budget provision being available for that purpose. This may be delegated to the Strategic Finance Manager and another member of the Strategic Management Team.</w:t>
      </w:r>
      <w:r w:rsidR="00A731B3">
        <w:rPr>
          <w:rFonts w:cs="Arial"/>
          <w:szCs w:val="22"/>
        </w:rPr>
        <w:br/>
      </w:r>
    </w:p>
    <w:p w14:paraId="64ACABF2" w14:textId="77777777" w:rsidR="009B369E" w:rsidRPr="00320C34" w:rsidRDefault="009B369E" w:rsidP="00FD0186">
      <w:pPr>
        <w:pStyle w:val="ListParagraph"/>
        <w:numPr>
          <w:ilvl w:val="0"/>
          <w:numId w:val="3"/>
        </w:numPr>
        <w:spacing w:after="0"/>
        <w:contextualSpacing/>
        <w:outlineLvl w:val="0"/>
        <w:rPr>
          <w:rFonts w:cs="Arial"/>
          <w:b/>
          <w:szCs w:val="22"/>
        </w:rPr>
      </w:pPr>
      <w:r w:rsidRPr="00320C34">
        <w:rPr>
          <w:rFonts w:cs="Arial"/>
          <w:b/>
          <w:szCs w:val="22"/>
        </w:rPr>
        <w:t>Credit control</w:t>
      </w:r>
      <w:r w:rsidRPr="00320C34">
        <w:rPr>
          <w:rFonts w:cs="Arial"/>
          <w:b/>
          <w:szCs w:val="22"/>
        </w:rPr>
        <w:br/>
      </w:r>
    </w:p>
    <w:p w14:paraId="64ACABF3" w14:textId="77777777" w:rsidR="009B369E" w:rsidRPr="00DB4D2A" w:rsidRDefault="009B369E" w:rsidP="00FD0186">
      <w:pPr>
        <w:pStyle w:val="ListParagraph"/>
        <w:numPr>
          <w:ilvl w:val="1"/>
          <w:numId w:val="3"/>
        </w:numPr>
        <w:spacing w:after="0"/>
        <w:contextualSpacing/>
        <w:outlineLvl w:val="0"/>
        <w:rPr>
          <w:rFonts w:cs="Arial"/>
          <w:szCs w:val="22"/>
        </w:rPr>
      </w:pPr>
      <w:r w:rsidRPr="00DB4D2A">
        <w:rPr>
          <w:rFonts w:cs="Arial"/>
          <w:szCs w:val="22"/>
        </w:rPr>
        <w:t xml:space="preserve">Subject to approval from the appropriate </w:t>
      </w:r>
      <w:r>
        <w:rPr>
          <w:rFonts w:cs="Arial"/>
          <w:szCs w:val="22"/>
        </w:rPr>
        <w:t>SMT member</w:t>
      </w:r>
      <w:r w:rsidRPr="00DB4D2A">
        <w:rPr>
          <w:rFonts w:cs="Arial"/>
          <w:szCs w:val="22"/>
        </w:rPr>
        <w:t xml:space="preserve">, the </w:t>
      </w:r>
      <w:r>
        <w:rPr>
          <w:rFonts w:cs="Arial"/>
          <w:szCs w:val="22"/>
        </w:rPr>
        <w:t>Strategic</w:t>
      </w:r>
      <w:r w:rsidRPr="00DB4D2A">
        <w:rPr>
          <w:rFonts w:cs="Arial"/>
          <w:szCs w:val="22"/>
        </w:rPr>
        <w:t xml:space="preserve"> Finance</w:t>
      </w:r>
      <w:r>
        <w:rPr>
          <w:rFonts w:cs="Arial"/>
          <w:szCs w:val="22"/>
        </w:rPr>
        <w:t xml:space="preserve"> Manager</w:t>
      </w:r>
      <w:r w:rsidRPr="00DB4D2A">
        <w:rPr>
          <w:rFonts w:cs="Arial"/>
          <w:szCs w:val="22"/>
        </w:rPr>
        <w:t xml:space="preserve"> is authorised to take all necessary action, including legal proceedings to recover any outstanding debts, to write off irrecoverable debts of up to £5,000; and to make payments of up to £5,000 in settlement of small claims.</w:t>
      </w:r>
      <w:r>
        <w:rPr>
          <w:rFonts w:cs="Arial"/>
          <w:szCs w:val="22"/>
        </w:rPr>
        <w:br/>
      </w:r>
    </w:p>
    <w:p w14:paraId="64ACABF4" w14:textId="77777777" w:rsidR="005503E9" w:rsidRDefault="009B369E" w:rsidP="00FD0186">
      <w:pPr>
        <w:pStyle w:val="ListParagraph"/>
        <w:numPr>
          <w:ilvl w:val="1"/>
          <w:numId w:val="3"/>
        </w:numPr>
        <w:spacing w:after="0"/>
        <w:contextualSpacing/>
        <w:outlineLvl w:val="0"/>
      </w:pPr>
      <w:r w:rsidRPr="00154B21">
        <w:rPr>
          <w:rFonts w:cs="Arial"/>
          <w:szCs w:val="22"/>
        </w:rPr>
        <w:t>The Chief Executive is authorised to write off debts exceeding £5,000 which, after the full process of credit control, including legal proceedings if appropriate, are deemed by the Strategic Finance Manager to be irrecoverable. The write-off of any individual debts in excess of £</w:t>
      </w:r>
      <w:r w:rsidR="005503E9">
        <w:rPr>
          <w:rFonts w:cs="Arial"/>
          <w:szCs w:val="22"/>
        </w:rPr>
        <w:t>25</w:t>
      </w:r>
      <w:r w:rsidRPr="00154B21">
        <w:rPr>
          <w:rFonts w:cs="Arial"/>
          <w:szCs w:val="22"/>
        </w:rPr>
        <w:t>,000 are to be reported to the Leadership Board.</w:t>
      </w:r>
      <w:r w:rsidR="005503E9">
        <w:rPr>
          <w:rFonts w:cs="Arial"/>
          <w:szCs w:val="22"/>
        </w:rPr>
        <w:t xml:space="preserve"> </w:t>
      </w:r>
      <w:r w:rsidR="005503E9">
        <w:rPr>
          <w:rFonts w:cs="Arial"/>
          <w:bCs/>
          <w:szCs w:val="22"/>
        </w:rPr>
        <w:t>Lower amounts will be reported if likely to bring any reputational risk to the LGA.</w:t>
      </w:r>
    </w:p>
    <w:p w14:paraId="64ACABF5" w14:textId="2D94EAA6" w:rsidR="00FD0186" w:rsidRDefault="00FD0186">
      <w:pPr>
        <w:spacing w:after="160" w:line="259" w:lineRule="auto"/>
        <w:rPr>
          <w:rFonts w:cs="Arial"/>
          <w:szCs w:val="22"/>
        </w:rPr>
      </w:pPr>
      <w:r>
        <w:rPr>
          <w:rFonts w:cs="Arial"/>
          <w:szCs w:val="22"/>
        </w:rPr>
        <w:br w:type="page"/>
      </w:r>
    </w:p>
    <w:p w14:paraId="44FA9EB2" w14:textId="77777777" w:rsidR="009B369E" w:rsidRPr="00154B21" w:rsidRDefault="009B369E" w:rsidP="00FD0186">
      <w:pPr>
        <w:pStyle w:val="ListParagraph"/>
        <w:spacing w:after="0"/>
        <w:ind w:left="792"/>
        <w:contextualSpacing/>
        <w:outlineLvl w:val="0"/>
        <w:rPr>
          <w:rFonts w:cs="Arial"/>
          <w:szCs w:val="22"/>
        </w:rPr>
      </w:pPr>
      <w:bookmarkStart w:id="0" w:name="_GoBack"/>
      <w:bookmarkEnd w:id="0"/>
    </w:p>
    <w:p w14:paraId="64ACABF6" w14:textId="77777777" w:rsidR="009B369E" w:rsidRPr="00DB4D2A" w:rsidRDefault="009B369E" w:rsidP="00FD0186">
      <w:pPr>
        <w:pStyle w:val="ListParagraph"/>
        <w:numPr>
          <w:ilvl w:val="0"/>
          <w:numId w:val="3"/>
        </w:numPr>
        <w:spacing w:after="0"/>
        <w:ind w:left="567" w:hanging="567"/>
        <w:contextualSpacing/>
        <w:outlineLvl w:val="0"/>
        <w:rPr>
          <w:rFonts w:cs="Arial"/>
          <w:b/>
          <w:szCs w:val="22"/>
        </w:rPr>
      </w:pPr>
      <w:r w:rsidRPr="00DB4D2A">
        <w:rPr>
          <w:rFonts w:cs="Arial"/>
          <w:b/>
          <w:szCs w:val="22"/>
        </w:rPr>
        <w:t>Litigation and legal proceedings</w:t>
      </w:r>
      <w:r w:rsidRPr="00DB4D2A">
        <w:rPr>
          <w:rFonts w:cs="Arial"/>
          <w:b/>
          <w:szCs w:val="22"/>
        </w:rPr>
        <w:br/>
      </w:r>
    </w:p>
    <w:p w14:paraId="64ACABF7" w14:textId="77777777" w:rsidR="0022216B" w:rsidRDefault="009B369E" w:rsidP="00FD0186">
      <w:pPr>
        <w:pStyle w:val="ListParagraph"/>
        <w:numPr>
          <w:ilvl w:val="1"/>
          <w:numId w:val="3"/>
        </w:numPr>
        <w:spacing w:after="0"/>
        <w:contextualSpacing/>
        <w:outlineLvl w:val="0"/>
      </w:pPr>
      <w:r w:rsidRPr="003375C7">
        <w:rPr>
          <w:rFonts w:cs="Arial"/>
          <w:szCs w:val="22"/>
        </w:rPr>
        <w:t>In order to protect the LGA’s rights or interests, the Chief Executive is authorised, in the light of legal advice, to issue instructions for legal proceedings and make settlements in relation to court and tribunal cases. All cases where costs and/or potential costs, liabilities or settlement are likely to exceed £</w:t>
      </w:r>
      <w:r w:rsidR="005503E9">
        <w:rPr>
          <w:rFonts w:cs="Arial"/>
          <w:szCs w:val="22"/>
        </w:rPr>
        <w:t>2</w:t>
      </w:r>
      <w:r w:rsidRPr="003375C7">
        <w:rPr>
          <w:rFonts w:cs="Arial"/>
          <w:szCs w:val="22"/>
        </w:rPr>
        <w:t>5,000 shall be reported to the Leadership Board</w:t>
      </w:r>
      <w:r w:rsidRPr="003375C7">
        <w:rPr>
          <w:rFonts w:cs="Arial"/>
          <w:bCs/>
          <w:szCs w:val="22"/>
        </w:rPr>
        <w:t>.</w:t>
      </w:r>
      <w:r w:rsidR="005503E9">
        <w:rPr>
          <w:rFonts w:cs="Arial"/>
          <w:bCs/>
          <w:szCs w:val="22"/>
        </w:rPr>
        <w:t xml:space="preserve"> Lower amounts will be reported if likely to bring any reputational risk to the LGA.</w:t>
      </w:r>
    </w:p>
    <w:sectPr w:rsidR="0022216B" w:rsidSect="00E3515A">
      <w:headerReference w:type="default" r:id="rId10"/>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CABFA" w14:textId="77777777" w:rsidR="009443D3" w:rsidRDefault="009443D3">
      <w:r>
        <w:separator/>
      </w:r>
    </w:p>
  </w:endnote>
  <w:endnote w:type="continuationSeparator" w:id="0">
    <w:p w14:paraId="64ACABFB" w14:textId="77777777" w:rsidR="009443D3" w:rsidRDefault="0094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Vrinda"/>
    <w:panose1 w:val="020B0500000000000000"/>
    <w:charset w:val="00"/>
    <w:family w:val="swiss"/>
    <w:pitch w:val="variable"/>
    <w:sig w:usb0="00000003" w:usb1="00000000" w:usb2="00000000" w:usb3="00000000" w:csb0="00000001" w:csb1="00000000"/>
  </w:font>
  <w:font w:name="Frutiger 55 Roman">
    <w:altName w:val="Calibr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CABF8" w14:textId="77777777" w:rsidR="009443D3" w:rsidRDefault="009443D3">
      <w:r>
        <w:separator/>
      </w:r>
    </w:p>
  </w:footnote>
  <w:footnote w:type="continuationSeparator" w:id="0">
    <w:p w14:paraId="64ACABF9" w14:textId="77777777" w:rsidR="009443D3" w:rsidRDefault="00944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9443D3" w:rsidRPr="004F266E" w14:paraId="64ACABFE" w14:textId="77777777" w:rsidTr="009B369E">
      <w:tc>
        <w:tcPr>
          <w:tcW w:w="5920" w:type="dxa"/>
          <w:vMerge w:val="restart"/>
          <w:shd w:val="clear" w:color="auto" w:fill="auto"/>
        </w:tcPr>
        <w:p w14:paraId="64ACABFC" w14:textId="77777777" w:rsidR="009443D3" w:rsidRPr="00374227" w:rsidRDefault="009443D3" w:rsidP="009B369E">
          <w:pPr>
            <w:pStyle w:val="Header"/>
            <w:tabs>
              <w:tab w:val="clear" w:pos="4153"/>
              <w:tab w:val="clear" w:pos="8306"/>
              <w:tab w:val="center" w:pos="2923"/>
            </w:tabs>
          </w:pPr>
          <w:r>
            <w:rPr>
              <w:rFonts w:cs="Arial"/>
              <w:noProof/>
              <w:sz w:val="44"/>
              <w:szCs w:val="44"/>
            </w:rPr>
            <w:drawing>
              <wp:inline distT="0" distB="0" distL="0" distR="0" wp14:anchorId="64ACAC06" wp14:editId="64ACAC07">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64ACABFD" w14:textId="68B7AF91" w:rsidR="009443D3" w:rsidRPr="00374227" w:rsidRDefault="009443D3" w:rsidP="009B369E">
          <w:pPr>
            <w:pStyle w:val="Header"/>
            <w:rPr>
              <w:rFonts w:cs="Arial"/>
              <w:b/>
              <w:szCs w:val="22"/>
            </w:rPr>
          </w:pPr>
          <w:r>
            <w:rPr>
              <w:rFonts w:cs="Arial"/>
              <w:b/>
              <w:szCs w:val="22"/>
            </w:rPr>
            <w:t>LGA Leadership Board</w:t>
          </w:r>
        </w:p>
      </w:tc>
    </w:tr>
    <w:tr w:rsidR="009443D3" w14:paraId="64ACAC01" w14:textId="77777777" w:rsidTr="009B369E">
      <w:trPr>
        <w:trHeight w:val="450"/>
      </w:trPr>
      <w:tc>
        <w:tcPr>
          <w:tcW w:w="5920" w:type="dxa"/>
          <w:vMerge/>
          <w:shd w:val="clear" w:color="auto" w:fill="auto"/>
        </w:tcPr>
        <w:p w14:paraId="64ACABFF" w14:textId="77777777" w:rsidR="009443D3" w:rsidRPr="00374227" w:rsidRDefault="009443D3" w:rsidP="009B369E">
          <w:pPr>
            <w:pStyle w:val="Header"/>
          </w:pPr>
        </w:p>
      </w:tc>
      <w:tc>
        <w:tcPr>
          <w:tcW w:w="3260" w:type="dxa"/>
          <w:shd w:val="clear" w:color="auto" w:fill="auto"/>
          <w:vAlign w:val="center"/>
        </w:tcPr>
        <w:p w14:paraId="64ACAC00" w14:textId="77777777" w:rsidR="009443D3" w:rsidRPr="00374227" w:rsidRDefault="009443D3" w:rsidP="009B369E">
          <w:pPr>
            <w:pStyle w:val="Header"/>
            <w:spacing w:before="60"/>
            <w:rPr>
              <w:rFonts w:cs="Arial"/>
              <w:szCs w:val="22"/>
            </w:rPr>
          </w:pPr>
          <w:r>
            <w:rPr>
              <w:rFonts w:cs="Arial"/>
              <w:szCs w:val="22"/>
            </w:rPr>
            <w:t>18 January 2017</w:t>
          </w:r>
        </w:p>
      </w:tc>
    </w:tr>
    <w:tr w:rsidR="009443D3" w:rsidRPr="004F266E" w14:paraId="64ACAC04" w14:textId="77777777" w:rsidTr="009B369E">
      <w:trPr>
        <w:trHeight w:val="708"/>
      </w:trPr>
      <w:tc>
        <w:tcPr>
          <w:tcW w:w="5920" w:type="dxa"/>
          <w:vMerge/>
          <w:shd w:val="clear" w:color="auto" w:fill="auto"/>
        </w:tcPr>
        <w:p w14:paraId="64ACAC02" w14:textId="77777777" w:rsidR="009443D3" w:rsidRPr="00374227" w:rsidRDefault="009443D3" w:rsidP="009B369E">
          <w:pPr>
            <w:pStyle w:val="Header"/>
          </w:pPr>
        </w:p>
      </w:tc>
      <w:tc>
        <w:tcPr>
          <w:tcW w:w="3260" w:type="dxa"/>
          <w:shd w:val="clear" w:color="auto" w:fill="auto"/>
          <w:vAlign w:val="center"/>
        </w:tcPr>
        <w:p w14:paraId="64ACAC03" w14:textId="48333BED" w:rsidR="009443D3" w:rsidRPr="00374227" w:rsidRDefault="009443D3" w:rsidP="009B369E">
          <w:pPr>
            <w:pStyle w:val="Header"/>
            <w:spacing w:before="60"/>
            <w:rPr>
              <w:rFonts w:cs="Arial"/>
              <w:b/>
              <w:szCs w:val="22"/>
            </w:rPr>
          </w:pPr>
        </w:p>
      </w:tc>
    </w:tr>
  </w:tbl>
  <w:p w14:paraId="64ACAC05" w14:textId="65F7848D" w:rsidR="009443D3" w:rsidRPr="00FD0186" w:rsidRDefault="009443D3" w:rsidP="00FD0186">
    <w:pPr>
      <w:pStyle w:val="Header"/>
      <w:tabs>
        <w:tab w:val="clear" w:pos="4153"/>
        <w:tab w:val="clear" w:pos="8306"/>
        <w:tab w:val="left" w:pos="1164"/>
      </w:tabs>
      <w:rPr>
        <w:rFonts w:cs="Arial"/>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0BE1"/>
    <w:multiLevelType w:val="hybridMultilevel"/>
    <w:tmpl w:val="D3D88D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045910"/>
    <w:multiLevelType w:val="multilevel"/>
    <w:tmpl w:val="064CDE04"/>
    <w:lvl w:ilvl="0">
      <w:start w:val="1"/>
      <w:numFmt w:val="bullet"/>
      <w:lvlText w:val=""/>
      <w:lvlJc w:val="left"/>
      <w:pPr>
        <w:ind w:left="720" w:hanging="360"/>
      </w:pPr>
      <w:rPr>
        <w:rFonts w:ascii="Symbol" w:hAnsi="Symbol"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350548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C4738F"/>
    <w:multiLevelType w:val="multilevel"/>
    <w:tmpl w:val="F6EC60CC"/>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none"/>
      <w:lvlText w:val="1.1"/>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4" w15:restartNumberingAfterBreak="0">
    <w:nsid w:val="3E934E06"/>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2F"/>
    <w:rsid w:val="0004754C"/>
    <w:rsid w:val="000859A7"/>
    <w:rsid w:val="00120175"/>
    <w:rsid w:val="00154B21"/>
    <w:rsid w:val="0016202A"/>
    <w:rsid w:val="001645A2"/>
    <w:rsid w:val="001A0027"/>
    <w:rsid w:val="0022216B"/>
    <w:rsid w:val="002222CC"/>
    <w:rsid w:val="00252ABB"/>
    <w:rsid w:val="00272706"/>
    <w:rsid w:val="00275DB8"/>
    <w:rsid w:val="002822E5"/>
    <w:rsid w:val="00292FE5"/>
    <w:rsid w:val="002F2285"/>
    <w:rsid w:val="002F6082"/>
    <w:rsid w:val="003375C7"/>
    <w:rsid w:val="0036488C"/>
    <w:rsid w:val="00394720"/>
    <w:rsid w:val="003D491C"/>
    <w:rsid w:val="004A64C5"/>
    <w:rsid w:val="004B728C"/>
    <w:rsid w:val="004D41D9"/>
    <w:rsid w:val="005503E9"/>
    <w:rsid w:val="00572C1E"/>
    <w:rsid w:val="006732CD"/>
    <w:rsid w:val="007040B0"/>
    <w:rsid w:val="0078529F"/>
    <w:rsid w:val="00792809"/>
    <w:rsid w:val="008B096A"/>
    <w:rsid w:val="008B4FD9"/>
    <w:rsid w:val="0091231F"/>
    <w:rsid w:val="00917894"/>
    <w:rsid w:val="009443D3"/>
    <w:rsid w:val="0095440A"/>
    <w:rsid w:val="0098137D"/>
    <w:rsid w:val="009B369E"/>
    <w:rsid w:val="009F5690"/>
    <w:rsid w:val="00A731B3"/>
    <w:rsid w:val="00AC4187"/>
    <w:rsid w:val="00B56A70"/>
    <w:rsid w:val="00B90F7E"/>
    <w:rsid w:val="00BA0D99"/>
    <w:rsid w:val="00C73DDF"/>
    <w:rsid w:val="00CA66CB"/>
    <w:rsid w:val="00D16F2F"/>
    <w:rsid w:val="00D238B2"/>
    <w:rsid w:val="00DB0B74"/>
    <w:rsid w:val="00DB7CCA"/>
    <w:rsid w:val="00E017B1"/>
    <w:rsid w:val="00E3515A"/>
    <w:rsid w:val="00E5546A"/>
    <w:rsid w:val="00E71620"/>
    <w:rsid w:val="00E83170"/>
    <w:rsid w:val="00EB5EFE"/>
    <w:rsid w:val="00F01208"/>
    <w:rsid w:val="00F4107C"/>
    <w:rsid w:val="00F5120C"/>
    <w:rsid w:val="00FD0186"/>
    <w:rsid w:val="00FF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CAB52"/>
  <w15:chartTrackingRefBased/>
  <w15:docId w15:val="{77BB12EE-CF14-48E6-90D5-505393F3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4C5"/>
    <w:pPr>
      <w:spacing w:after="12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515A"/>
    <w:pPr>
      <w:tabs>
        <w:tab w:val="center" w:pos="4153"/>
        <w:tab w:val="right" w:pos="8306"/>
      </w:tabs>
    </w:pPr>
  </w:style>
  <w:style w:type="character" w:customStyle="1" w:styleId="HeaderChar">
    <w:name w:val="Header Char"/>
    <w:basedOn w:val="DefaultParagraphFont"/>
    <w:link w:val="Header"/>
    <w:rsid w:val="00E3515A"/>
    <w:rPr>
      <w:rFonts w:ascii="Frutiger 45 Light" w:eastAsia="Times New Roman" w:hAnsi="Frutiger 45 Light" w:cs="Times New Roman"/>
      <w:szCs w:val="20"/>
      <w:lang w:eastAsia="en-GB"/>
    </w:rPr>
  </w:style>
  <w:style w:type="paragraph" w:customStyle="1" w:styleId="MainText">
    <w:name w:val="Main Text"/>
    <w:basedOn w:val="Normal"/>
    <w:link w:val="MainTextChar"/>
    <w:rsid w:val="004A64C5"/>
    <w:pPr>
      <w:spacing w:line="280" w:lineRule="exact"/>
    </w:pPr>
  </w:style>
  <w:style w:type="paragraph" w:styleId="ListParagraph">
    <w:name w:val="List Paragraph"/>
    <w:basedOn w:val="Normal"/>
    <w:uiPriority w:val="34"/>
    <w:qFormat/>
    <w:rsid w:val="00E3515A"/>
    <w:pPr>
      <w:ind w:left="720"/>
    </w:pPr>
  </w:style>
  <w:style w:type="paragraph" w:customStyle="1" w:styleId="LGAItemNoHeading">
    <w:name w:val="LGA Item No Heading"/>
    <w:basedOn w:val="MainText"/>
    <w:rsid w:val="00D16F2F"/>
    <w:pPr>
      <w:spacing w:before="600" w:after="240"/>
    </w:pPr>
    <w:rPr>
      <w:rFonts w:ascii="Frutiger 55 Roman" w:hAnsi="Frutiger 55 Roman"/>
      <w:b/>
      <w:sz w:val="32"/>
    </w:rPr>
  </w:style>
  <w:style w:type="character" w:styleId="Hyperlink">
    <w:name w:val="Hyperlink"/>
    <w:basedOn w:val="DefaultParagraphFont"/>
    <w:rsid w:val="00D16F2F"/>
    <w:rPr>
      <w:color w:val="0000FF"/>
      <w:u w:val="single"/>
    </w:rPr>
  </w:style>
  <w:style w:type="table" w:styleId="TableGrid">
    <w:name w:val="Table Grid"/>
    <w:basedOn w:val="TableNormal"/>
    <w:rsid w:val="00D16F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Char">
    <w:name w:val="Main Text Char"/>
    <w:link w:val="MainText"/>
    <w:rsid w:val="00AC4187"/>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AC41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187"/>
    <w:rPr>
      <w:rFonts w:ascii="Segoe UI" w:eastAsia="Times New Roman" w:hAnsi="Segoe UI" w:cs="Segoe UI"/>
      <w:sz w:val="18"/>
      <w:szCs w:val="18"/>
      <w:lang w:eastAsia="en-GB"/>
    </w:rPr>
  </w:style>
  <w:style w:type="paragraph" w:styleId="Footer">
    <w:name w:val="footer"/>
    <w:basedOn w:val="Normal"/>
    <w:link w:val="FooterChar"/>
    <w:uiPriority w:val="99"/>
    <w:unhideWhenUsed/>
    <w:rsid w:val="00F5120C"/>
    <w:pPr>
      <w:tabs>
        <w:tab w:val="center" w:pos="4513"/>
        <w:tab w:val="right" w:pos="9026"/>
      </w:tabs>
      <w:spacing w:after="0"/>
    </w:pPr>
  </w:style>
  <w:style w:type="character" w:customStyle="1" w:styleId="FooterChar">
    <w:name w:val="Footer Char"/>
    <w:basedOn w:val="DefaultParagraphFont"/>
    <w:link w:val="Footer"/>
    <w:uiPriority w:val="99"/>
    <w:rsid w:val="00F5120C"/>
    <w:rPr>
      <w:rFonts w:ascii="Arial" w:eastAsia="Times New Roman" w:hAnsi="Arial" w:cs="Times New Roman"/>
      <w:szCs w:val="20"/>
      <w:lang w:eastAsia="en-GB"/>
    </w:rPr>
  </w:style>
  <w:style w:type="paragraph" w:styleId="BodyText">
    <w:name w:val="Body Text"/>
    <w:basedOn w:val="Normal"/>
    <w:link w:val="BodyTextChar"/>
    <w:rsid w:val="009B369E"/>
    <w:pPr>
      <w:spacing w:after="0"/>
      <w:jc w:val="both"/>
    </w:pPr>
    <w:rPr>
      <w:rFonts w:ascii="Frutiger 45 Light" w:hAnsi="Frutiger 45 Light"/>
      <w:lang w:eastAsia="en-US"/>
    </w:rPr>
  </w:style>
  <w:style w:type="character" w:customStyle="1" w:styleId="BodyTextChar">
    <w:name w:val="Body Text Char"/>
    <w:basedOn w:val="DefaultParagraphFont"/>
    <w:link w:val="BodyText"/>
    <w:rsid w:val="009B369E"/>
    <w:rPr>
      <w:rFonts w:ascii="Frutiger 45 Light" w:eastAsia="Times New Roman" w:hAnsi="Frutiger 45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19890377-0B91-49CB-BB0D-913B82CA2943}">
  <ds:schemaRefs>
    <ds:schemaRef ds:uri="http://schemas.microsoft.com/sharepoint/v3/contenttype/forms"/>
  </ds:schemaRefs>
</ds:datastoreItem>
</file>

<file path=customXml/itemProps2.xml><?xml version="1.0" encoding="utf-8"?>
<ds:datastoreItem xmlns:ds="http://schemas.openxmlformats.org/officeDocument/2006/customXml" ds:itemID="{8627F666-7F09-4380-8682-977982E3E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E05F6-C8E4-4A03-A683-1F3C7BC97D29}">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c8febe6a-14d9-43ab-83c3-c48f478fa47c"/>
    <ds:schemaRef ds:uri="1c8a0e75-f4bc-4eb4-8ed0-578eaea9e1ca"/>
  </ds:schemaRefs>
</ds:datastoreItem>
</file>

<file path=docProps/app.xml><?xml version="1.0" encoding="utf-8"?>
<Properties xmlns="http://schemas.openxmlformats.org/officeDocument/2006/extended-properties" xmlns:vt="http://schemas.openxmlformats.org/officeDocument/2006/docPropsVTypes">
  <Template>A2D04EFA.dotm</Template>
  <TotalTime>32</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Brack</dc:creator>
  <cp:keywords/>
  <dc:description/>
  <cp:lastModifiedBy>Frances Marshall</cp:lastModifiedBy>
  <cp:revision>60</cp:revision>
  <dcterms:created xsi:type="dcterms:W3CDTF">2017-01-10T13:25:00Z</dcterms:created>
  <dcterms:modified xsi:type="dcterms:W3CDTF">2017-01-11T17:30:00Z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